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B0D9B" w:rsidRPr="00FD7273" w:rsidRDefault="00407E19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Üllés Nagyközség Képviselő</w:t>
      </w:r>
      <w:r w:rsidR="002B09FB" w:rsidRPr="00FD7273">
        <w:rPr>
          <w:sz w:val="24"/>
          <w:szCs w:val="24"/>
        </w:rPr>
        <w:t xml:space="preserve">testületének </w:t>
      </w:r>
    </w:p>
    <w:p w:rsidR="002B09FB" w:rsidRPr="00FD7273" w:rsidRDefault="00BB7E4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…….</w:t>
      </w:r>
      <w:r w:rsidR="002B09FB" w:rsidRPr="00FD7273">
        <w:rPr>
          <w:b/>
          <w:sz w:val="24"/>
          <w:szCs w:val="24"/>
        </w:rPr>
        <w:t>/ 2015.(</w:t>
      </w:r>
      <w:r w:rsidR="00407E19">
        <w:rPr>
          <w:b/>
          <w:sz w:val="24"/>
          <w:szCs w:val="24"/>
        </w:rPr>
        <w:t>XII.16.)</w:t>
      </w:r>
      <w:r w:rsidR="002B09FB" w:rsidRPr="00FD7273">
        <w:rPr>
          <w:b/>
          <w:sz w:val="24"/>
          <w:szCs w:val="24"/>
        </w:rPr>
        <w:t xml:space="preserve"> önkormányzati rendelete </w:t>
      </w:r>
    </w:p>
    <w:p w:rsidR="004F4699" w:rsidRPr="00FD7273" w:rsidRDefault="004F4699">
      <w:pPr>
        <w:jc w:val="center"/>
        <w:rPr>
          <w:b/>
          <w:sz w:val="24"/>
          <w:szCs w:val="24"/>
        </w:rPr>
      </w:pPr>
    </w:p>
    <w:p w:rsidR="002B09FB" w:rsidRPr="00FD7273" w:rsidRDefault="002B09FB">
      <w:pPr>
        <w:jc w:val="center"/>
        <w:rPr>
          <w:sz w:val="24"/>
          <w:szCs w:val="24"/>
        </w:rPr>
      </w:pPr>
      <w:proofErr w:type="gramStart"/>
      <w:r w:rsidRPr="00FD7273">
        <w:rPr>
          <w:b/>
          <w:sz w:val="24"/>
          <w:szCs w:val="24"/>
        </w:rPr>
        <w:t>az</w:t>
      </w:r>
      <w:proofErr w:type="gramEnd"/>
      <w:r w:rsidRPr="00FD7273">
        <w:rPr>
          <w:b/>
          <w:sz w:val="24"/>
          <w:szCs w:val="24"/>
        </w:rPr>
        <w:t xml:space="preserve"> önkormányzat 2015. évi költségvetéséről szóló </w:t>
      </w:r>
      <w:r w:rsidR="004F4699" w:rsidRPr="00FD7273">
        <w:rPr>
          <w:b/>
          <w:sz w:val="24"/>
          <w:szCs w:val="24"/>
        </w:rPr>
        <w:t>1/2015.(II.11.)</w:t>
      </w:r>
      <w:r w:rsidR="00BB7E4D">
        <w:rPr>
          <w:b/>
          <w:sz w:val="24"/>
          <w:szCs w:val="24"/>
        </w:rPr>
        <w:t xml:space="preserve"> </w:t>
      </w:r>
      <w:r w:rsidR="004F4699" w:rsidRPr="00FD7273">
        <w:rPr>
          <w:b/>
          <w:sz w:val="24"/>
          <w:szCs w:val="24"/>
        </w:rPr>
        <w:t xml:space="preserve">önkormányzati </w:t>
      </w:r>
    </w:p>
    <w:p w:rsidR="002B09FB" w:rsidRPr="00FD7273" w:rsidRDefault="002B09FB">
      <w:pPr>
        <w:jc w:val="center"/>
        <w:rPr>
          <w:sz w:val="24"/>
          <w:szCs w:val="24"/>
        </w:rPr>
      </w:pPr>
      <w:proofErr w:type="gramStart"/>
      <w:r w:rsidRPr="00FD7273">
        <w:rPr>
          <w:sz w:val="24"/>
          <w:szCs w:val="24"/>
        </w:rPr>
        <w:t>rendelet</w:t>
      </w:r>
      <w:proofErr w:type="gramEnd"/>
      <w:r w:rsidR="00DA71AC" w:rsidRPr="00FD7273">
        <w:rPr>
          <w:sz w:val="24"/>
          <w:szCs w:val="24"/>
        </w:rPr>
        <w:t xml:space="preserve"> </w:t>
      </w:r>
      <w:r w:rsidRPr="00FD7273">
        <w:rPr>
          <w:sz w:val="24"/>
          <w:szCs w:val="24"/>
        </w:rPr>
        <w:t>módosításáról</w:t>
      </w:r>
    </w:p>
    <w:p w:rsidR="002B09FB" w:rsidRPr="00FD7273" w:rsidRDefault="002B09FB" w:rsidP="00C5233E">
      <w:pPr>
        <w:rPr>
          <w:sz w:val="24"/>
          <w:szCs w:val="24"/>
        </w:rPr>
      </w:pPr>
    </w:p>
    <w:p w:rsidR="002B09FB" w:rsidRPr="00FD7273" w:rsidRDefault="002B09FB" w:rsidP="00DA71AC">
      <w:pPr>
        <w:jc w:val="both"/>
        <w:rPr>
          <w:sz w:val="24"/>
          <w:szCs w:val="24"/>
        </w:rPr>
      </w:pPr>
      <w:r w:rsidRPr="00FD7273">
        <w:rPr>
          <w:sz w:val="24"/>
          <w:szCs w:val="24"/>
        </w:rPr>
        <w:t>Üllés Nag</w:t>
      </w:r>
      <w:r w:rsidR="00407E19">
        <w:rPr>
          <w:sz w:val="24"/>
          <w:szCs w:val="24"/>
        </w:rPr>
        <w:t>yközségi Önkormányzat Képviselő</w:t>
      </w:r>
      <w:r w:rsidRPr="00FD7273">
        <w:rPr>
          <w:sz w:val="24"/>
          <w:szCs w:val="24"/>
        </w:rPr>
        <w:t>testülete az Alaptörvény 32.</w:t>
      </w:r>
      <w:r w:rsidR="00DA71AC" w:rsidRPr="00FD7273">
        <w:rPr>
          <w:sz w:val="24"/>
          <w:szCs w:val="24"/>
        </w:rPr>
        <w:t xml:space="preserve"> </w:t>
      </w:r>
      <w:r w:rsidRPr="00FD7273">
        <w:rPr>
          <w:sz w:val="24"/>
          <w:szCs w:val="24"/>
        </w:rPr>
        <w:t>cikk (2) bekezdésében meghatározott eredeti jogalkotói hatáskörében, az Alaptörvény 32. cikk (1) bekezdés f) pontjában meghatározott feladatkörében</w:t>
      </w:r>
      <w:r w:rsidR="00DA71AC" w:rsidRPr="00FD7273">
        <w:rPr>
          <w:sz w:val="24"/>
          <w:szCs w:val="24"/>
        </w:rPr>
        <w:t xml:space="preserve"> </w:t>
      </w:r>
      <w:r w:rsidR="00BB7E4D">
        <w:rPr>
          <w:sz w:val="24"/>
          <w:szCs w:val="24"/>
        </w:rPr>
        <w:t xml:space="preserve">eljárva </w:t>
      </w:r>
      <w:r w:rsidR="00682B0E">
        <w:rPr>
          <w:sz w:val="24"/>
          <w:szCs w:val="24"/>
        </w:rPr>
        <w:t>az államháztartásról szóló törvény végrehajtásáról szóló 368/2011.(XII. 31.) Korm. rendelet 27. § (1) bekezdésében biztosított véleményezési jogkörében eljáró Képviselő-testület bizottságai véleményének ismeretében a következőket rendeli el</w:t>
      </w:r>
      <w:r w:rsidR="00DA71AC" w:rsidRPr="00FD7273">
        <w:rPr>
          <w:sz w:val="24"/>
          <w:szCs w:val="24"/>
        </w:rPr>
        <w:t xml:space="preserve">: </w:t>
      </w:r>
    </w:p>
    <w:p w:rsidR="002B09FB" w:rsidRPr="00FD7273" w:rsidRDefault="00682B0E" w:rsidP="00682B0E">
      <w:pPr>
        <w:spacing w:before="120" w:after="120"/>
        <w:jc w:val="center"/>
        <w:rPr>
          <w:sz w:val="24"/>
          <w:szCs w:val="24"/>
        </w:rPr>
      </w:pPr>
      <w:r>
        <w:rPr>
          <w:sz w:val="24"/>
          <w:szCs w:val="24"/>
        </w:rPr>
        <w:t>1.§</w:t>
      </w:r>
    </w:p>
    <w:p w:rsidR="00DA71AC" w:rsidRPr="00BB7E4D" w:rsidRDefault="00BB7E4D" w:rsidP="00BB7E4D">
      <w:pPr>
        <w:tabs>
          <w:tab w:val="left" w:pos="5400"/>
        </w:tabs>
        <w:jc w:val="both"/>
        <w:rPr>
          <w:b/>
          <w:i/>
          <w:sz w:val="24"/>
          <w:szCs w:val="24"/>
        </w:rPr>
      </w:pPr>
      <w:r w:rsidRPr="00BB7E4D">
        <w:rPr>
          <w:b/>
          <w:i/>
          <w:sz w:val="24"/>
          <w:szCs w:val="24"/>
        </w:rPr>
        <w:t xml:space="preserve">Az önkormányzat 2015. évi költségvetéséről szóló 1/2015. (II.11.) önkormányzati rendelet (a továbbiakban: Rendelet) </w:t>
      </w:r>
      <w:r w:rsidR="00DA71AC" w:rsidRPr="00BB7E4D">
        <w:rPr>
          <w:b/>
          <w:i/>
          <w:sz w:val="24"/>
          <w:szCs w:val="24"/>
        </w:rPr>
        <w:t>4.</w:t>
      </w:r>
      <w:r>
        <w:rPr>
          <w:b/>
          <w:i/>
          <w:sz w:val="24"/>
          <w:szCs w:val="24"/>
        </w:rPr>
        <w:t xml:space="preserve"> </w:t>
      </w:r>
      <w:r w:rsidR="00DA71AC" w:rsidRPr="00BB7E4D">
        <w:rPr>
          <w:b/>
          <w:i/>
          <w:sz w:val="24"/>
          <w:szCs w:val="24"/>
        </w:rPr>
        <w:t>§</w:t>
      </w:r>
      <w:r>
        <w:rPr>
          <w:b/>
          <w:i/>
          <w:sz w:val="24"/>
          <w:szCs w:val="24"/>
        </w:rPr>
        <w:t xml:space="preserve"> (1) bekezdése</w:t>
      </w:r>
      <w:r w:rsidR="00DA71AC" w:rsidRPr="00BB7E4D">
        <w:rPr>
          <w:b/>
          <w:i/>
          <w:sz w:val="24"/>
          <w:szCs w:val="24"/>
        </w:rPr>
        <w:t xml:space="preserve"> </w:t>
      </w:r>
      <w:r w:rsidRPr="00BB7E4D">
        <w:rPr>
          <w:b/>
          <w:i/>
          <w:sz w:val="24"/>
          <w:szCs w:val="24"/>
        </w:rPr>
        <w:t>helyébe a következő rendelkezés lép</w:t>
      </w:r>
      <w:r w:rsidR="00DA71AC" w:rsidRPr="00BB7E4D">
        <w:rPr>
          <w:b/>
          <w:i/>
          <w:sz w:val="24"/>
          <w:szCs w:val="24"/>
        </w:rPr>
        <w:t xml:space="preserve">: </w:t>
      </w:r>
    </w:p>
    <w:p w:rsidR="00DA71AC" w:rsidRPr="00FD7273" w:rsidRDefault="00C5233E" w:rsidP="00682B0E">
      <w:pPr>
        <w:tabs>
          <w:tab w:val="left" w:pos="5400"/>
        </w:tabs>
        <w:spacing w:after="1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(1)</w:t>
      </w:r>
      <w:r w:rsidR="00BB7E4D">
        <w:rPr>
          <w:i/>
          <w:sz w:val="24"/>
          <w:szCs w:val="24"/>
        </w:rPr>
        <w:t xml:space="preserve"> </w:t>
      </w:r>
      <w:r w:rsidR="00DA71AC" w:rsidRPr="00FD7273">
        <w:rPr>
          <w:i/>
          <w:sz w:val="24"/>
          <w:szCs w:val="24"/>
        </w:rPr>
        <w:t>A Képviselőtestület az önkormányzat 2015. évi költségvetésének:</w:t>
      </w: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2B09FB" w:rsidRPr="00FD7273" w:rsidTr="002C2025">
        <w:trPr>
          <w:jc w:val="center"/>
        </w:trPr>
        <w:tc>
          <w:tcPr>
            <w:tcW w:w="4536" w:type="dxa"/>
            <w:shd w:val="clear" w:color="auto" w:fill="auto"/>
          </w:tcPr>
          <w:p w:rsidR="002B09FB" w:rsidRPr="00FD7273" w:rsidRDefault="002B09FB" w:rsidP="002C2025">
            <w:pPr>
              <w:pStyle w:val="Tblzattartalom"/>
              <w:jc w:val="both"/>
              <w:rPr>
                <w:i/>
                <w:sz w:val="24"/>
                <w:szCs w:val="24"/>
              </w:rPr>
            </w:pPr>
            <w:r w:rsidRPr="00FD7273">
              <w:rPr>
                <w:i/>
                <w:sz w:val="24"/>
                <w:szCs w:val="24"/>
              </w:rPr>
              <w:t>Költségvetési kiadásait</w:t>
            </w:r>
          </w:p>
        </w:tc>
        <w:tc>
          <w:tcPr>
            <w:tcW w:w="4536" w:type="dxa"/>
            <w:shd w:val="clear" w:color="auto" w:fill="auto"/>
          </w:tcPr>
          <w:p w:rsidR="002B09FB" w:rsidRPr="00FD7273" w:rsidRDefault="000B7AA8" w:rsidP="000B7AA8">
            <w:pPr>
              <w:pStyle w:val="Tblzattartalom"/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605.723</w:t>
            </w:r>
            <w:r w:rsidR="002B09FB" w:rsidRPr="00FD7273">
              <w:rPr>
                <w:i/>
                <w:sz w:val="24"/>
                <w:szCs w:val="24"/>
              </w:rPr>
              <w:t xml:space="preserve"> ezer Ft-ban</w:t>
            </w:r>
          </w:p>
        </w:tc>
      </w:tr>
      <w:tr w:rsidR="002B09FB" w:rsidRPr="00FD7273" w:rsidTr="002C2025">
        <w:trPr>
          <w:jc w:val="center"/>
        </w:trPr>
        <w:tc>
          <w:tcPr>
            <w:tcW w:w="4536" w:type="dxa"/>
            <w:shd w:val="clear" w:color="auto" w:fill="auto"/>
          </w:tcPr>
          <w:p w:rsidR="002B09FB" w:rsidRPr="00FD7273" w:rsidRDefault="002B09FB" w:rsidP="002C2025">
            <w:pPr>
              <w:pStyle w:val="Tblzattartalom"/>
              <w:jc w:val="both"/>
              <w:rPr>
                <w:i/>
                <w:sz w:val="24"/>
                <w:szCs w:val="24"/>
              </w:rPr>
            </w:pPr>
            <w:r w:rsidRPr="00FD7273">
              <w:rPr>
                <w:i/>
                <w:sz w:val="24"/>
                <w:szCs w:val="24"/>
              </w:rPr>
              <w:t>Költségvetési bevételeit</w:t>
            </w:r>
          </w:p>
        </w:tc>
        <w:tc>
          <w:tcPr>
            <w:tcW w:w="4536" w:type="dxa"/>
            <w:shd w:val="clear" w:color="auto" w:fill="auto"/>
          </w:tcPr>
          <w:p w:rsidR="002B09FB" w:rsidRPr="00FD7273" w:rsidRDefault="000B7AA8" w:rsidP="002C2025">
            <w:pPr>
              <w:pStyle w:val="Tblzattartalom"/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654.456</w:t>
            </w:r>
            <w:r w:rsidR="002B09FB" w:rsidRPr="00FD7273">
              <w:rPr>
                <w:i/>
                <w:sz w:val="24"/>
                <w:szCs w:val="24"/>
              </w:rPr>
              <w:t xml:space="preserve"> ezer Ft-ban</w:t>
            </w:r>
          </w:p>
        </w:tc>
      </w:tr>
      <w:tr w:rsidR="002B09FB" w:rsidRPr="00FD7273" w:rsidTr="002C2025">
        <w:trPr>
          <w:jc w:val="center"/>
        </w:trPr>
        <w:tc>
          <w:tcPr>
            <w:tcW w:w="4536" w:type="dxa"/>
            <w:shd w:val="clear" w:color="auto" w:fill="auto"/>
          </w:tcPr>
          <w:p w:rsidR="002B09FB" w:rsidRPr="00FD7273" w:rsidRDefault="002B09FB" w:rsidP="002C2025">
            <w:pPr>
              <w:pStyle w:val="Tblzattartalom"/>
              <w:jc w:val="both"/>
              <w:rPr>
                <w:i/>
                <w:sz w:val="24"/>
                <w:szCs w:val="24"/>
              </w:rPr>
            </w:pPr>
            <w:r w:rsidRPr="00FD7273">
              <w:rPr>
                <w:i/>
                <w:sz w:val="24"/>
                <w:szCs w:val="24"/>
              </w:rPr>
              <w:t>Költségvetési egyenlegét</w:t>
            </w:r>
          </w:p>
        </w:tc>
        <w:tc>
          <w:tcPr>
            <w:tcW w:w="4536" w:type="dxa"/>
            <w:shd w:val="clear" w:color="auto" w:fill="auto"/>
          </w:tcPr>
          <w:p w:rsidR="002B09FB" w:rsidRPr="00FD7273" w:rsidRDefault="000B7AA8" w:rsidP="002C2025">
            <w:pPr>
              <w:pStyle w:val="Tblzattartalom"/>
              <w:jc w:val="right"/>
              <w:rPr>
                <w:i/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t>+  27</w:t>
            </w:r>
            <w:proofErr w:type="gramEnd"/>
            <w:r>
              <w:rPr>
                <w:i/>
                <w:sz w:val="24"/>
                <w:szCs w:val="24"/>
              </w:rPr>
              <w:t>.051</w:t>
            </w:r>
            <w:r w:rsidR="002B09FB" w:rsidRPr="00FD7273">
              <w:rPr>
                <w:i/>
                <w:sz w:val="24"/>
                <w:szCs w:val="24"/>
              </w:rPr>
              <w:t xml:space="preserve"> ezer Ft-ban</w:t>
            </w:r>
          </w:p>
        </w:tc>
      </w:tr>
      <w:tr w:rsidR="002B09FB" w:rsidRPr="00FD7273" w:rsidTr="002C2025">
        <w:trPr>
          <w:jc w:val="center"/>
        </w:trPr>
        <w:tc>
          <w:tcPr>
            <w:tcW w:w="4536" w:type="dxa"/>
            <w:shd w:val="clear" w:color="auto" w:fill="auto"/>
          </w:tcPr>
          <w:p w:rsidR="002B09FB" w:rsidRPr="00FD7273" w:rsidRDefault="002B09FB" w:rsidP="002C2025">
            <w:pPr>
              <w:pStyle w:val="Tblzattartalom"/>
              <w:jc w:val="both"/>
              <w:rPr>
                <w:i/>
                <w:sz w:val="24"/>
                <w:szCs w:val="24"/>
              </w:rPr>
            </w:pPr>
            <w:proofErr w:type="gramStart"/>
            <w:r w:rsidRPr="00FD7273">
              <w:rPr>
                <w:i/>
                <w:sz w:val="24"/>
                <w:szCs w:val="24"/>
              </w:rPr>
              <w:t>Finanszírozási</w:t>
            </w:r>
            <w:proofErr w:type="gramEnd"/>
            <w:r w:rsidRPr="00FD7273">
              <w:rPr>
                <w:i/>
                <w:sz w:val="24"/>
                <w:szCs w:val="24"/>
              </w:rPr>
              <w:t xml:space="preserve"> bevételét</w:t>
            </w:r>
          </w:p>
        </w:tc>
        <w:tc>
          <w:tcPr>
            <w:tcW w:w="4536" w:type="dxa"/>
            <w:shd w:val="clear" w:color="auto" w:fill="auto"/>
          </w:tcPr>
          <w:p w:rsidR="002B09FB" w:rsidRPr="00FD7273" w:rsidRDefault="002B09FB" w:rsidP="002C2025">
            <w:pPr>
              <w:pStyle w:val="Tblzattartalom"/>
              <w:jc w:val="right"/>
              <w:rPr>
                <w:i/>
                <w:sz w:val="24"/>
                <w:szCs w:val="24"/>
              </w:rPr>
            </w:pPr>
            <w:r w:rsidRPr="00FD7273">
              <w:rPr>
                <w:i/>
                <w:sz w:val="24"/>
                <w:szCs w:val="24"/>
              </w:rPr>
              <w:t xml:space="preserve">             </w:t>
            </w:r>
            <w:r w:rsidR="000B7AA8">
              <w:rPr>
                <w:i/>
                <w:sz w:val="24"/>
                <w:szCs w:val="24"/>
              </w:rPr>
              <w:t>21.682</w:t>
            </w:r>
            <w:r w:rsidRPr="00FD7273">
              <w:rPr>
                <w:i/>
                <w:sz w:val="24"/>
                <w:szCs w:val="24"/>
              </w:rPr>
              <w:t xml:space="preserve"> ezer Ft-ban</w:t>
            </w:r>
          </w:p>
        </w:tc>
      </w:tr>
      <w:tr w:rsidR="002B09FB" w:rsidRPr="00FD7273" w:rsidTr="002C2025">
        <w:trPr>
          <w:jc w:val="center"/>
        </w:trPr>
        <w:tc>
          <w:tcPr>
            <w:tcW w:w="4536" w:type="dxa"/>
            <w:shd w:val="clear" w:color="auto" w:fill="auto"/>
          </w:tcPr>
          <w:p w:rsidR="002B09FB" w:rsidRPr="00FD7273" w:rsidRDefault="002B09FB" w:rsidP="002C2025">
            <w:pPr>
              <w:pStyle w:val="Tblzattartalom"/>
              <w:jc w:val="both"/>
              <w:rPr>
                <w:i/>
                <w:sz w:val="24"/>
                <w:szCs w:val="24"/>
              </w:rPr>
            </w:pPr>
            <w:proofErr w:type="gramStart"/>
            <w:r w:rsidRPr="00FD7273">
              <w:rPr>
                <w:i/>
                <w:sz w:val="24"/>
                <w:szCs w:val="24"/>
              </w:rPr>
              <w:t>Finanszírozási</w:t>
            </w:r>
            <w:proofErr w:type="gramEnd"/>
            <w:r w:rsidRPr="00FD7273">
              <w:rPr>
                <w:i/>
                <w:sz w:val="24"/>
                <w:szCs w:val="24"/>
              </w:rPr>
              <w:t xml:space="preserve"> kiadásait</w:t>
            </w:r>
          </w:p>
        </w:tc>
        <w:tc>
          <w:tcPr>
            <w:tcW w:w="4536" w:type="dxa"/>
            <w:shd w:val="clear" w:color="auto" w:fill="auto"/>
          </w:tcPr>
          <w:p w:rsidR="002B09FB" w:rsidRPr="00FD7273" w:rsidRDefault="002B09FB" w:rsidP="002C2025">
            <w:pPr>
              <w:pStyle w:val="Tblzattartalom"/>
              <w:jc w:val="right"/>
              <w:rPr>
                <w:i/>
                <w:sz w:val="24"/>
                <w:szCs w:val="24"/>
              </w:rPr>
            </w:pPr>
            <w:r w:rsidRPr="00FD7273">
              <w:rPr>
                <w:i/>
                <w:sz w:val="24"/>
                <w:szCs w:val="24"/>
              </w:rPr>
              <w:t xml:space="preserve">    </w:t>
            </w:r>
            <w:r w:rsidR="000B7AA8">
              <w:rPr>
                <w:i/>
                <w:sz w:val="24"/>
                <w:szCs w:val="24"/>
              </w:rPr>
              <w:t>48.733</w:t>
            </w:r>
            <w:r w:rsidRPr="00FD7273">
              <w:rPr>
                <w:i/>
                <w:sz w:val="24"/>
                <w:szCs w:val="24"/>
              </w:rPr>
              <w:t xml:space="preserve"> ezer Ft-ban</w:t>
            </w:r>
          </w:p>
        </w:tc>
      </w:tr>
      <w:tr w:rsidR="002B09FB" w:rsidRPr="00FD7273" w:rsidTr="002C2025">
        <w:trPr>
          <w:jc w:val="center"/>
        </w:trPr>
        <w:tc>
          <w:tcPr>
            <w:tcW w:w="4536" w:type="dxa"/>
            <w:shd w:val="clear" w:color="auto" w:fill="auto"/>
          </w:tcPr>
          <w:p w:rsidR="002B09FB" w:rsidRPr="00FD7273" w:rsidRDefault="002B09FB" w:rsidP="002C2025">
            <w:pPr>
              <w:pStyle w:val="Tblzattartalom"/>
              <w:jc w:val="both"/>
              <w:rPr>
                <w:i/>
                <w:sz w:val="24"/>
                <w:szCs w:val="24"/>
              </w:rPr>
            </w:pPr>
            <w:proofErr w:type="gramStart"/>
            <w:r w:rsidRPr="00FD7273">
              <w:rPr>
                <w:i/>
                <w:sz w:val="24"/>
                <w:szCs w:val="24"/>
              </w:rPr>
              <w:t>Finanszírozási</w:t>
            </w:r>
            <w:proofErr w:type="gramEnd"/>
            <w:r w:rsidRPr="00FD7273">
              <w:rPr>
                <w:i/>
                <w:sz w:val="24"/>
                <w:szCs w:val="24"/>
              </w:rPr>
              <w:t xml:space="preserve"> egyenlegét</w:t>
            </w:r>
          </w:p>
        </w:tc>
        <w:tc>
          <w:tcPr>
            <w:tcW w:w="4536" w:type="dxa"/>
            <w:shd w:val="clear" w:color="auto" w:fill="auto"/>
          </w:tcPr>
          <w:p w:rsidR="002B09FB" w:rsidRPr="00FD7273" w:rsidRDefault="000B7AA8" w:rsidP="002C2025">
            <w:pPr>
              <w:pStyle w:val="Tblzattartalom"/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-27.051</w:t>
            </w:r>
            <w:r w:rsidR="002B09FB" w:rsidRPr="00FD7273">
              <w:rPr>
                <w:i/>
                <w:sz w:val="24"/>
                <w:szCs w:val="24"/>
              </w:rPr>
              <w:t xml:space="preserve"> ezer Ft-ban</w:t>
            </w:r>
          </w:p>
        </w:tc>
      </w:tr>
      <w:tr w:rsidR="002B09FB" w:rsidRPr="00FD7273" w:rsidTr="002C2025">
        <w:trPr>
          <w:jc w:val="center"/>
        </w:trPr>
        <w:tc>
          <w:tcPr>
            <w:tcW w:w="4536" w:type="dxa"/>
            <w:shd w:val="clear" w:color="auto" w:fill="auto"/>
          </w:tcPr>
          <w:p w:rsidR="002B09FB" w:rsidRPr="00FD7273" w:rsidRDefault="002B09FB" w:rsidP="002C2025">
            <w:pPr>
              <w:pStyle w:val="Tblzattartalom"/>
              <w:jc w:val="both"/>
              <w:rPr>
                <w:i/>
                <w:sz w:val="24"/>
                <w:szCs w:val="24"/>
              </w:rPr>
            </w:pPr>
            <w:r w:rsidRPr="00FD7273">
              <w:rPr>
                <w:i/>
                <w:sz w:val="24"/>
                <w:szCs w:val="24"/>
              </w:rPr>
              <w:t>Összes bevételét</w:t>
            </w:r>
          </w:p>
        </w:tc>
        <w:tc>
          <w:tcPr>
            <w:tcW w:w="4536" w:type="dxa"/>
            <w:shd w:val="clear" w:color="auto" w:fill="auto"/>
          </w:tcPr>
          <w:p w:rsidR="002B09FB" w:rsidRPr="00FD7273" w:rsidRDefault="000B7AA8" w:rsidP="002C2025">
            <w:pPr>
              <w:pStyle w:val="Tblzattartalom"/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654.456 </w:t>
            </w:r>
            <w:r w:rsidR="002B09FB" w:rsidRPr="00FD7273">
              <w:rPr>
                <w:i/>
                <w:sz w:val="24"/>
                <w:szCs w:val="24"/>
              </w:rPr>
              <w:t>ezer Ft-ban</w:t>
            </w:r>
          </w:p>
        </w:tc>
      </w:tr>
      <w:tr w:rsidR="002B09FB" w:rsidRPr="00FD7273" w:rsidTr="002C2025">
        <w:trPr>
          <w:jc w:val="center"/>
        </w:trPr>
        <w:tc>
          <w:tcPr>
            <w:tcW w:w="4536" w:type="dxa"/>
            <w:shd w:val="clear" w:color="auto" w:fill="auto"/>
          </w:tcPr>
          <w:p w:rsidR="002B09FB" w:rsidRPr="00FD7273" w:rsidRDefault="002B09FB" w:rsidP="002C2025">
            <w:pPr>
              <w:pStyle w:val="Tblzattartalom"/>
              <w:jc w:val="both"/>
              <w:rPr>
                <w:i/>
                <w:sz w:val="24"/>
                <w:szCs w:val="24"/>
              </w:rPr>
            </w:pPr>
            <w:r w:rsidRPr="00FD7273">
              <w:rPr>
                <w:i/>
                <w:sz w:val="24"/>
                <w:szCs w:val="24"/>
              </w:rPr>
              <w:t>Összes kiadását</w:t>
            </w:r>
          </w:p>
        </w:tc>
        <w:tc>
          <w:tcPr>
            <w:tcW w:w="4536" w:type="dxa"/>
            <w:shd w:val="clear" w:color="auto" w:fill="auto"/>
          </w:tcPr>
          <w:p w:rsidR="002B09FB" w:rsidRPr="00FD7273" w:rsidRDefault="000B7AA8" w:rsidP="002C2025">
            <w:pPr>
              <w:pStyle w:val="Tblzattartalom"/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654.456</w:t>
            </w:r>
            <w:r w:rsidR="002B09FB" w:rsidRPr="00FD7273">
              <w:rPr>
                <w:i/>
                <w:sz w:val="24"/>
                <w:szCs w:val="24"/>
              </w:rPr>
              <w:t xml:space="preserve"> ezer Ft-ban</w:t>
            </w:r>
          </w:p>
        </w:tc>
      </w:tr>
      <w:tr w:rsidR="002B09FB" w:rsidRPr="00FD7273" w:rsidTr="002C2025">
        <w:trPr>
          <w:jc w:val="center"/>
        </w:trPr>
        <w:tc>
          <w:tcPr>
            <w:tcW w:w="4536" w:type="dxa"/>
            <w:shd w:val="clear" w:color="auto" w:fill="auto"/>
          </w:tcPr>
          <w:p w:rsidR="002B09FB" w:rsidRPr="00FD7273" w:rsidRDefault="002B09FB" w:rsidP="002C2025">
            <w:pPr>
              <w:pStyle w:val="Tblzattartalom"/>
              <w:jc w:val="both"/>
              <w:rPr>
                <w:i/>
                <w:sz w:val="24"/>
                <w:szCs w:val="24"/>
              </w:rPr>
            </w:pPr>
            <w:r w:rsidRPr="00FD7273">
              <w:rPr>
                <w:i/>
                <w:sz w:val="24"/>
                <w:szCs w:val="24"/>
              </w:rPr>
              <w:t>állapítja meg.</w:t>
            </w:r>
          </w:p>
        </w:tc>
        <w:tc>
          <w:tcPr>
            <w:tcW w:w="4536" w:type="dxa"/>
            <w:shd w:val="clear" w:color="auto" w:fill="auto"/>
          </w:tcPr>
          <w:p w:rsidR="002B09FB" w:rsidRPr="00FD7273" w:rsidRDefault="002B09FB" w:rsidP="002C2025">
            <w:pPr>
              <w:pStyle w:val="Tblzattartalom"/>
              <w:snapToGrid w:val="0"/>
              <w:jc w:val="both"/>
              <w:rPr>
                <w:i/>
                <w:sz w:val="24"/>
                <w:szCs w:val="24"/>
              </w:rPr>
            </w:pPr>
          </w:p>
        </w:tc>
      </w:tr>
    </w:tbl>
    <w:p w:rsidR="004F4699" w:rsidRPr="00FD7273" w:rsidRDefault="00682B0E" w:rsidP="00682B0E">
      <w:pPr>
        <w:spacing w:before="120" w:after="120"/>
        <w:jc w:val="center"/>
        <w:rPr>
          <w:sz w:val="24"/>
          <w:szCs w:val="24"/>
        </w:rPr>
      </w:pPr>
      <w:r>
        <w:rPr>
          <w:sz w:val="24"/>
          <w:szCs w:val="24"/>
        </w:rPr>
        <w:t>2.§</w:t>
      </w:r>
    </w:p>
    <w:p w:rsidR="00BB7E4D" w:rsidRDefault="00C81ECD">
      <w:pPr>
        <w:ind w:left="624" w:hanging="6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(1) </w:t>
      </w:r>
      <w:r w:rsidR="002B09FB" w:rsidRPr="00FD7273">
        <w:rPr>
          <w:sz w:val="24"/>
          <w:szCs w:val="24"/>
        </w:rPr>
        <w:t>A rendelet 1</w:t>
      </w:r>
      <w:r w:rsidR="00BB7E4D">
        <w:rPr>
          <w:sz w:val="24"/>
          <w:szCs w:val="24"/>
        </w:rPr>
        <w:t xml:space="preserve">. melléklete helyébe </w:t>
      </w:r>
      <w:r w:rsidR="000F24DD">
        <w:rPr>
          <w:sz w:val="24"/>
          <w:szCs w:val="24"/>
        </w:rPr>
        <w:t>a</w:t>
      </w:r>
      <w:r w:rsidR="002C2025">
        <w:rPr>
          <w:sz w:val="24"/>
          <w:szCs w:val="24"/>
        </w:rPr>
        <w:t>z</w:t>
      </w:r>
      <w:r w:rsidR="000F24DD">
        <w:rPr>
          <w:sz w:val="24"/>
          <w:szCs w:val="24"/>
        </w:rPr>
        <w:t xml:space="preserve"> </w:t>
      </w:r>
      <w:r w:rsidR="002C2025">
        <w:rPr>
          <w:sz w:val="24"/>
          <w:szCs w:val="24"/>
        </w:rPr>
        <w:t>1. melléklet</w:t>
      </w:r>
      <w:r w:rsidR="00BB7E4D">
        <w:rPr>
          <w:sz w:val="24"/>
          <w:szCs w:val="24"/>
        </w:rPr>
        <w:t xml:space="preserve"> lép.</w:t>
      </w:r>
    </w:p>
    <w:p w:rsidR="00BB7E4D" w:rsidRDefault="00C81ECD" w:rsidP="00BB7E4D">
      <w:pPr>
        <w:ind w:left="624" w:hanging="6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(2) </w:t>
      </w:r>
      <w:r w:rsidR="00BB7E4D" w:rsidRPr="00FD7273">
        <w:rPr>
          <w:sz w:val="24"/>
          <w:szCs w:val="24"/>
        </w:rPr>
        <w:t xml:space="preserve">A rendelet </w:t>
      </w:r>
      <w:r w:rsidR="00BB7E4D">
        <w:rPr>
          <w:sz w:val="24"/>
          <w:szCs w:val="24"/>
        </w:rPr>
        <w:t xml:space="preserve">2. melléklete helyébe </w:t>
      </w:r>
      <w:r w:rsidR="000F24DD">
        <w:rPr>
          <w:sz w:val="24"/>
          <w:szCs w:val="24"/>
        </w:rPr>
        <w:t xml:space="preserve">a </w:t>
      </w:r>
      <w:r w:rsidR="00BB7E4D">
        <w:rPr>
          <w:sz w:val="24"/>
          <w:szCs w:val="24"/>
        </w:rPr>
        <w:t>2. melléklet lép.</w:t>
      </w:r>
    </w:p>
    <w:p w:rsidR="00BB7E4D" w:rsidRDefault="00C81ECD" w:rsidP="00BB7E4D">
      <w:pPr>
        <w:ind w:left="624" w:hanging="6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(3) </w:t>
      </w:r>
      <w:r w:rsidR="00BB7E4D" w:rsidRPr="00FD7273">
        <w:rPr>
          <w:sz w:val="24"/>
          <w:szCs w:val="24"/>
        </w:rPr>
        <w:t xml:space="preserve">A rendelet </w:t>
      </w:r>
      <w:r w:rsidR="00BB7E4D">
        <w:rPr>
          <w:sz w:val="24"/>
          <w:szCs w:val="24"/>
        </w:rPr>
        <w:t xml:space="preserve">3. melléklete helyébe </w:t>
      </w:r>
      <w:r w:rsidR="000F24DD">
        <w:rPr>
          <w:sz w:val="24"/>
          <w:szCs w:val="24"/>
        </w:rPr>
        <w:t>a</w:t>
      </w:r>
      <w:r w:rsidR="00BB7E4D">
        <w:rPr>
          <w:sz w:val="24"/>
          <w:szCs w:val="24"/>
        </w:rPr>
        <w:t xml:space="preserve"> 3. melléklet lép.</w:t>
      </w:r>
    </w:p>
    <w:p w:rsidR="00BB7E4D" w:rsidRDefault="00C81ECD" w:rsidP="00BB7E4D">
      <w:pPr>
        <w:ind w:left="624" w:hanging="6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(4) </w:t>
      </w:r>
      <w:r w:rsidR="00BB7E4D" w:rsidRPr="00FD7273">
        <w:rPr>
          <w:sz w:val="24"/>
          <w:szCs w:val="24"/>
        </w:rPr>
        <w:t xml:space="preserve">A rendelet </w:t>
      </w:r>
      <w:r w:rsidR="00BB7E4D">
        <w:rPr>
          <w:sz w:val="24"/>
          <w:szCs w:val="24"/>
        </w:rPr>
        <w:t xml:space="preserve">4. melléklete helyébe </w:t>
      </w:r>
      <w:r w:rsidR="000F24DD">
        <w:rPr>
          <w:sz w:val="24"/>
          <w:szCs w:val="24"/>
        </w:rPr>
        <w:t>a</w:t>
      </w:r>
      <w:r w:rsidR="00BB7E4D">
        <w:rPr>
          <w:sz w:val="24"/>
          <w:szCs w:val="24"/>
        </w:rPr>
        <w:t xml:space="preserve"> 4. melléklet lép.</w:t>
      </w:r>
    </w:p>
    <w:p w:rsidR="00BB7E4D" w:rsidRDefault="000F24DD" w:rsidP="00BB7E4D">
      <w:pPr>
        <w:ind w:left="624" w:hanging="6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(5) </w:t>
      </w:r>
      <w:r w:rsidR="00BB7E4D" w:rsidRPr="00FD7273">
        <w:rPr>
          <w:sz w:val="24"/>
          <w:szCs w:val="24"/>
        </w:rPr>
        <w:t xml:space="preserve">A rendelet </w:t>
      </w:r>
      <w:r w:rsidR="00682B0E">
        <w:rPr>
          <w:sz w:val="24"/>
          <w:szCs w:val="24"/>
        </w:rPr>
        <w:t>6/A</w:t>
      </w:r>
      <w:r w:rsidR="00BB7E4D">
        <w:rPr>
          <w:sz w:val="24"/>
          <w:szCs w:val="24"/>
        </w:rPr>
        <w:t xml:space="preserve">. melléklete helyébe </w:t>
      </w:r>
      <w:proofErr w:type="gramStart"/>
      <w:r>
        <w:rPr>
          <w:sz w:val="24"/>
          <w:szCs w:val="24"/>
        </w:rPr>
        <w:t>a</w:t>
      </w:r>
      <w:proofErr w:type="gramEnd"/>
      <w:r w:rsidR="00BB7E4D">
        <w:rPr>
          <w:sz w:val="24"/>
          <w:szCs w:val="24"/>
        </w:rPr>
        <w:t xml:space="preserve"> </w:t>
      </w:r>
      <w:r w:rsidR="00682B0E">
        <w:rPr>
          <w:sz w:val="24"/>
          <w:szCs w:val="24"/>
        </w:rPr>
        <w:t>5</w:t>
      </w:r>
      <w:r w:rsidR="00BB7E4D">
        <w:rPr>
          <w:sz w:val="24"/>
          <w:szCs w:val="24"/>
        </w:rPr>
        <w:t>. melléklet lép.</w:t>
      </w:r>
    </w:p>
    <w:p w:rsidR="00BB7E4D" w:rsidRDefault="000F24DD" w:rsidP="00BB7E4D">
      <w:pPr>
        <w:ind w:left="624" w:hanging="6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(6) </w:t>
      </w:r>
      <w:r w:rsidR="00BB7E4D" w:rsidRPr="00FD7273">
        <w:rPr>
          <w:sz w:val="24"/>
          <w:szCs w:val="24"/>
        </w:rPr>
        <w:t xml:space="preserve">A rendelet </w:t>
      </w:r>
      <w:r w:rsidR="00682B0E">
        <w:rPr>
          <w:sz w:val="24"/>
          <w:szCs w:val="24"/>
        </w:rPr>
        <w:t>6/B</w:t>
      </w:r>
      <w:r w:rsidR="00BB7E4D">
        <w:rPr>
          <w:sz w:val="24"/>
          <w:szCs w:val="24"/>
        </w:rPr>
        <w:t xml:space="preserve">. melléklete helyébe </w:t>
      </w:r>
      <w:r>
        <w:rPr>
          <w:sz w:val="24"/>
          <w:szCs w:val="24"/>
        </w:rPr>
        <w:t>a</w:t>
      </w:r>
      <w:r w:rsidR="00BB7E4D">
        <w:rPr>
          <w:sz w:val="24"/>
          <w:szCs w:val="24"/>
        </w:rPr>
        <w:t xml:space="preserve"> </w:t>
      </w:r>
      <w:r w:rsidR="00682B0E">
        <w:rPr>
          <w:sz w:val="24"/>
          <w:szCs w:val="24"/>
        </w:rPr>
        <w:t>6</w:t>
      </w:r>
      <w:r w:rsidR="00BB7E4D">
        <w:rPr>
          <w:sz w:val="24"/>
          <w:szCs w:val="24"/>
        </w:rPr>
        <w:t>. melléklet lép.</w:t>
      </w:r>
    </w:p>
    <w:p w:rsidR="00BB7E4D" w:rsidRDefault="000F24DD" w:rsidP="00BB7E4D">
      <w:pPr>
        <w:ind w:left="624" w:hanging="6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(7) </w:t>
      </w:r>
      <w:r w:rsidR="00682B0E">
        <w:rPr>
          <w:sz w:val="24"/>
          <w:szCs w:val="24"/>
        </w:rPr>
        <w:t>A rendelet 6/C</w:t>
      </w:r>
      <w:r w:rsidR="00BB7E4D">
        <w:rPr>
          <w:sz w:val="24"/>
          <w:szCs w:val="24"/>
        </w:rPr>
        <w:t xml:space="preserve">. melléklete helyébe </w:t>
      </w:r>
      <w:r>
        <w:rPr>
          <w:sz w:val="24"/>
          <w:szCs w:val="24"/>
        </w:rPr>
        <w:t>a</w:t>
      </w:r>
      <w:r w:rsidR="00BB7E4D">
        <w:rPr>
          <w:sz w:val="24"/>
          <w:szCs w:val="24"/>
        </w:rPr>
        <w:t xml:space="preserve"> </w:t>
      </w:r>
      <w:r w:rsidR="00682B0E">
        <w:rPr>
          <w:sz w:val="24"/>
          <w:szCs w:val="24"/>
        </w:rPr>
        <w:t>7</w:t>
      </w:r>
      <w:r w:rsidR="00BB7E4D">
        <w:rPr>
          <w:sz w:val="24"/>
          <w:szCs w:val="24"/>
        </w:rPr>
        <w:t>. melléklet lép.</w:t>
      </w:r>
    </w:p>
    <w:p w:rsidR="00BB7E4D" w:rsidRDefault="000F24DD" w:rsidP="00BB7E4D">
      <w:pPr>
        <w:ind w:left="624" w:hanging="6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(8) </w:t>
      </w:r>
      <w:r w:rsidR="00682B0E">
        <w:rPr>
          <w:sz w:val="24"/>
          <w:szCs w:val="24"/>
        </w:rPr>
        <w:t>A rendelet 6/D</w:t>
      </w:r>
      <w:r w:rsidR="00BB7E4D">
        <w:rPr>
          <w:sz w:val="24"/>
          <w:szCs w:val="24"/>
        </w:rPr>
        <w:t xml:space="preserve">. melléklete helyébe </w:t>
      </w:r>
      <w:r>
        <w:rPr>
          <w:sz w:val="24"/>
          <w:szCs w:val="24"/>
        </w:rPr>
        <w:t>a</w:t>
      </w:r>
      <w:r w:rsidR="00BB7E4D">
        <w:rPr>
          <w:sz w:val="24"/>
          <w:szCs w:val="24"/>
        </w:rPr>
        <w:t xml:space="preserve"> </w:t>
      </w:r>
      <w:r w:rsidR="00682B0E">
        <w:rPr>
          <w:sz w:val="24"/>
          <w:szCs w:val="24"/>
        </w:rPr>
        <w:t>8</w:t>
      </w:r>
      <w:r w:rsidR="00BB7E4D">
        <w:rPr>
          <w:sz w:val="24"/>
          <w:szCs w:val="24"/>
        </w:rPr>
        <w:t>. melléklet lép.</w:t>
      </w:r>
    </w:p>
    <w:p w:rsidR="00BB7E4D" w:rsidRDefault="002C2025" w:rsidP="00BB7E4D">
      <w:pPr>
        <w:ind w:left="624" w:hanging="6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(9) </w:t>
      </w:r>
      <w:r w:rsidR="00682B0E">
        <w:rPr>
          <w:sz w:val="24"/>
          <w:szCs w:val="24"/>
        </w:rPr>
        <w:t>A rendelet 6/E</w:t>
      </w:r>
      <w:r w:rsidR="00BB7E4D">
        <w:rPr>
          <w:sz w:val="24"/>
          <w:szCs w:val="24"/>
        </w:rPr>
        <w:t xml:space="preserve">. melléklete helyébe </w:t>
      </w:r>
      <w:r w:rsidR="000F24DD">
        <w:rPr>
          <w:sz w:val="24"/>
          <w:szCs w:val="24"/>
        </w:rPr>
        <w:t>a</w:t>
      </w:r>
      <w:r w:rsidR="00BB7E4D">
        <w:rPr>
          <w:sz w:val="24"/>
          <w:szCs w:val="24"/>
        </w:rPr>
        <w:t xml:space="preserve"> </w:t>
      </w:r>
      <w:r w:rsidR="00682B0E">
        <w:rPr>
          <w:sz w:val="24"/>
          <w:szCs w:val="24"/>
        </w:rPr>
        <w:t>9</w:t>
      </w:r>
      <w:r>
        <w:rPr>
          <w:sz w:val="24"/>
          <w:szCs w:val="24"/>
        </w:rPr>
        <w:t>. melléklet</w:t>
      </w:r>
      <w:r w:rsidR="00BB7E4D">
        <w:rPr>
          <w:sz w:val="24"/>
          <w:szCs w:val="24"/>
        </w:rPr>
        <w:t xml:space="preserve"> lép.</w:t>
      </w:r>
    </w:p>
    <w:p w:rsidR="00682B0E" w:rsidRDefault="002C2025" w:rsidP="00682B0E">
      <w:pPr>
        <w:ind w:left="624" w:hanging="6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(10) </w:t>
      </w:r>
      <w:r w:rsidR="00682B0E" w:rsidRPr="00FD7273">
        <w:rPr>
          <w:sz w:val="24"/>
          <w:szCs w:val="24"/>
        </w:rPr>
        <w:t xml:space="preserve">A rendelet </w:t>
      </w:r>
      <w:r w:rsidR="00682B0E">
        <w:rPr>
          <w:sz w:val="24"/>
          <w:szCs w:val="24"/>
        </w:rPr>
        <w:t xml:space="preserve">6/F. melléklete helyébe </w:t>
      </w:r>
      <w:r w:rsidR="000F24DD">
        <w:rPr>
          <w:sz w:val="24"/>
          <w:szCs w:val="24"/>
        </w:rPr>
        <w:t>a</w:t>
      </w:r>
      <w:r w:rsidR="00682B0E">
        <w:rPr>
          <w:sz w:val="24"/>
          <w:szCs w:val="24"/>
        </w:rPr>
        <w:t xml:space="preserve"> 10. melléklet lép.</w:t>
      </w:r>
    </w:p>
    <w:p w:rsidR="002B09FB" w:rsidRPr="00FD7273" w:rsidRDefault="002C2025" w:rsidP="00682B0E">
      <w:pPr>
        <w:ind w:left="624" w:hanging="6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(11) </w:t>
      </w:r>
      <w:r w:rsidR="00682B0E" w:rsidRPr="00FD7273">
        <w:rPr>
          <w:sz w:val="24"/>
          <w:szCs w:val="24"/>
        </w:rPr>
        <w:t>A rendelet 1</w:t>
      </w:r>
      <w:r w:rsidR="00682B0E">
        <w:rPr>
          <w:sz w:val="24"/>
          <w:szCs w:val="24"/>
        </w:rPr>
        <w:t xml:space="preserve">1. melléklete helyébe </w:t>
      </w:r>
      <w:r w:rsidR="000F24DD">
        <w:rPr>
          <w:sz w:val="24"/>
          <w:szCs w:val="24"/>
        </w:rPr>
        <w:t>a</w:t>
      </w:r>
      <w:r w:rsidR="00682B0E">
        <w:rPr>
          <w:sz w:val="24"/>
          <w:szCs w:val="24"/>
        </w:rPr>
        <w:t xml:space="preserve"> 1</w:t>
      </w:r>
      <w:r w:rsidR="00C81ECD">
        <w:rPr>
          <w:sz w:val="24"/>
          <w:szCs w:val="24"/>
        </w:rPr>
        <w:t>1</w:t>
      </w:r>
      <w:r>
        <w:rPr>
          <w:sz w:val="24"/>
          <w:szCs w:val="24"/>
        </w:rPr>
        <w:t>. melléklet</w:t>
      </w:r>
      <w:r w:rsidR="00682B0E">
        <w:rPr>
          <w:sz w:val="24"/>
          <w:szCs w:val="24"/>
        </w:rPr>
        <w:t xml:space="preserve"> lép.</w:t>
      </w:r>
    </w:p>
    <w:p w:rsidR="004F4699" w:rsidRPr="00FD7273" w:rsidRDefault="00682B0E" w:rsidP="00682B0E">
      <w:pPr>
        <w:spacing w:before="120" w:after="120"/>
        <w:jc w:val="center"/>
        <w:rPr>
          <w:sz w:val="24"/>
          <w:szCs w:val="24"/>
        </w:rPr>
      </w:pPr>
      <w:r>
        <w:rPr>
          <w:sz w:val="24"/>
          <w:szCs w:val="24"/>
        </w:rPr>
        <w:t>3.§</w:t>
      </w:r>
    </w:p>
    <w:p w:rsidR="002B09FB" w:rsidRPr="00FD7273" w:rsidRDefault="004F4699">
      <w:pPr>
        <w:pStyle w:val="Szvegblokk1"/>
        <w:tabs>
          <w:tab w:val="left" w:pos="567"/>
        </w:tabs>
        <w:ind w:left="567" w:hanging="567"/>
        <w:rPr>
          <w:szCs w:val="24"/>
        </w:rPr>
      </w:pPr>
      <w:r w:rsidRPr="00FD7273">
        <w:rPr>
          <w:szCs w:val="24"/>
        </w:rPr>
        <w:t xml:space="preserve">E rendelet kihirdetését követő napon lép hatályba. </w:t>
      </w:r>
    </w:p>
    <w:p w:rsidR="002B09FB" w:rsidRPr="00FD7273" w:rsidRDefault="00FD7273" w:rsidP="002C2025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Üllés, 2015. </w:t>
      </w:r>
      <w:r w:rsidR="00682B0E">
        <w:rPr>
          <w:sz w:val="24"/>
          <w:szCs w:val="24"/>
        </w:rPr>
        <w:t>december 15</w:t>
      </w:r>
      <w:r>
        <w:rPr>
          <w:sz w:val="24"/>
          <w:szCs w:val="24"/>
        </w:rPr>
        <w:t>.</w:t>
      </w:r>
    </w:p>
    <w:p w:rsidR="002B09FB" w:rsidRPr="00FD7273" w:rsidRDefault="00BB7E4D" w:rsidP="000E1C15">
      <w:pPr>
        <w:tabs>
          <w:tab w:val="center" w:pos="2268"/>
          <w:tab w:val="center" w:pos="7371"/>
        </w:tabs>
        <w:spacing w:before="120"/>
        <w:jc w:val="both"/>
        <w:rPr>
          <w:rFonts w:eastAsia="CG Times"/>
          <w:sz w:val="24"/>
          <w:szCs w:val="24"/>
        </w:rPr>
      </w:pPr>
      <w:r>
        <w:rPr>
          <w:sz w:val="24"/>
          <w:szCs w:val="24"/>
        </w:rPr>
        <w:tab/>
        <w:t>Nagy Attila Gyula</w:t>
      </w:r>
      <w:r w:rsidR="004F4699" w:rsidRPr="00FD7273">
        <w:rPr>
          <w:sz w:val="24"/>
          <w:szCs w:val="24"/>
        </w:rPr>
        <w:tab/>
      </w:r>
      <w:r>
        <w:rPr>
          <w:sz w:val="24"/>
          <w:szCs w:val="24"/>
        </w:rPr>
        <w:t>Fáncsik Judit</w:t>
      </w:r>
    </w:p>
    <w:p w:rsidR="002B09FB" w:rsidRPr="00FD7273" w:rsidRDefault="00BB7E4D" w:rsidP="000E1C15">
      <w:pPr>
        <w:tabs>
          <w:tab w:val="center" w:pos="2268"/>
          <w:tab w:val="center" w:pos="7371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polgármester</w:t>
      </w:r>
      <w:proofErr w:type="gramEnd"/>
      <w:r>
        <w:rPr>
          <w:sz w:val="24"/>
          <w:szCs w:val="24"/>
        </w:rPr>
        <w:t xml:space="preserve"> </w:t>
      </w:r>
      <w:r w:rsidR="002B09FB" w:rsidRPr="00FD7273">
        <w:rPr>
          <w:sz w:val="24"/>
          <w:szCs w:val="24"/>
        </w:rPr>
        <w:tab/>
      </w:r>
      <w:r w:rsidR="00407E19">
        <w:rPr>
          <w:sz w:val="24"/>
          <w:szCs w:val="24"/>
        </w:rPr>
        <w:t>helyettes</w:t>
      </w:r>
      <w:r>
        <w:rPr>
          <w:sz w:val="24"/>
          <w:szCs w:val="24"/>
        </w:rPr>
        <w:t xml:space="preserve"> </w:t>
      </w:r>
      <w:r w:rsidR="002B09FB" w:rsidRPr="00FD7273">
        <w:rPr>
          <w:sz w:val="24"/>
          <w:szCs w:val="24"/>
        </w:rPr>
        <w:t>jegyző</w:t>
      </w:r>
    </w:p>
    <w:p w:rsidR="002B0D9B" w:rsidRPr="00FD7273" w:rsidRDefault="002B0D9B" w:rsidP="002C2025">
      <w:pPr>
        <w:spacing w:before="120"/>
        <w:rPr>
          <w:sz w:val="24"/>
          <w:szCs w:val="24"/>
        </w:rPr>
      </w:pPr>
      <w:r w:rsidRPr="00FD7273">
        <w:rPr>
          <w:sz w:val="24"/>
          <w:szCs w:val="24"/>
        </w:rPr>
        <w:t>Kihirdetve:</w:t>
      </w:r>
    </w:p>
    <w:p w:rsidR="002B0D9B" w:rsidRPr="00FD7273" w:rsidRDefault="002B0D9B">
      <w:pPr>
        <w:rPr>
          <w:sz w:val="24"/>
          <w:szCs w:val="24"/>
        </w:rPr>
      </w:pPr>
      <w:r w:rsidRPr="00FD7273">
        <w:rPr>
          <w:sz w:val="24"/>
          <w:szCs w:val="24"/>
        </w:rPr>
        <w:t xml:space="preserve">2015. </w:t>
      </w:r>
      <w:proofErr w:type="gramStart"/>
      <w:r w:rsidR="00BB7E4D">
        <w:rPr>
          <w:sz w:val="24"/>
          <w:szCs w:val="24"/>
        </w:rPr>
        <w:t>december …</w:t>
      </w:r>
      <w:proofErr w:type="gramEnd"/>
      <w:r w:rsidR="00BB7E4D">
        <w:rPr>
          <w:sz w:val="24"/>
          <w:szCs w:val="24"/>
        </w:rPr>
        <w:t>……</w:t>
      </w:r>
      <w:r w:rsidRPr="00FD7273">
        <w:rPr>
          <w:sz w:val="24"/>
          <w:szCs w:val="24"/>
        </w:rPr>
        <w:t xml:space="preserve">. </w:t>
      </w:r>
    </w:p>
    <w:p w:rsidR="002B09FB" w:rsidRPr="00FD7273" w:rsidRDefault="00407E19">
      <w:pPr>
        <w:rPr>
          <w:sz w:val="24"/>
          <w:szCs w:val="24"/>
        </w:rPr>
      </w:pPr>
      <w:r>
        <w:rPr>
          <w:sz w:val="24"/>
          <w:szCs w:val="24"/>
        </w:rPr>
        <w:t>Fáncsik Judit helyettes</w:t>
      </w:r>
      <w:r w:rsidR="002B0D9B" w:rsidRPr="00FD7273">
        <w:rPr>
          <w:sz w:val="24"/>
          <w:szCs w:val="24"/>
        </w:rPr>
        <w:t xml:space="preserve"> jegyző</w:t>
      </w:r>
    </w:p>
    <w:sectPr w:rsidR="002B09FB" w:rsidRPr="00FD7273" w:rsidSect="00682B0E">
      <w:headerReference w:type="default" r:id="rId7"/>
      <w:headerReference w:type="first" r:id="rId8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65E" w:rsidRDefault="0003365E">
      <w:r>
        <w:separator/>
      </w:r>
    </w:p>
  </w:endnote>
  <w:endnote w:type="continuationSeparator" w:id="0">
    <w:p w:rsidR="0003365E" w:rsidRDefault="00033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65E" w:rsidRDefault="0003365E">
      <w:r>
        <w:separator/>
      </w:r>
    </w:p>
  </w:footnote>
  <w:footnote w:type="continuationSeparator" w:id="0">
    <w:p w:rsidR="0003365E" w:rsidRDefault="000336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9FB" w:rsidRDefault="00407E19">
    <w:pPr>
      <w:pStyle w:val="lfej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146685" cy="290830"/>
              <wp:effectExtent l="9525" t="10160" r="5715" b="13335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6685" cy="2908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6A178F" id="Rectangle 1" o:spid="_x0000_s1026" style="position:absolute;margin-left:0;margin-top:.05pt;width:11.55pt;height:22.9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" strokeweight=".26mm">
              <v:stroke endcap="square"/>
              <w10:wrap type="square" side="largest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9FB" w:rsidRDefault="00BB7E4D" w:rsidP="00BB7E4D">
    <w:pPr>
      <w:pStyle w:val="lfej"/>
      <w:jc w:val="center"/>
      <w:rPr>
        <w:b/>
        <w:sz w:val="24"/>
      </w:rPr>
    </w:pPr>
    <w:r w:rsidRPr="00BB7E4D">
      <w:rPr>
        <w:b/>
        <w:sz w:val="24"/>
      </w:rPr>
      <w:t>TERVEZET</w:t>
    </w:r>
  </w:p>
  <w:p w:rsidR="00BB7E4D" w:rsidRPr="00BB7E4D" w:rsidRDefault="00BB7E4D" w:rsidP="00BB7E4D">
    <w:pPr>
      <w:pStyle w:val="lfej"/>
      <w:jc w:val="center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23AF39B8"/>
    <w:multiLevelType w:val="hybridMultilevel"/>
    <w:tmpl w:val="4DA40258"/>
    <w:lvl w:ilvl="0" w:tplc="89C245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699"/>
    <w:rsid w:val="0003365E"/>
    <w:rsid w:val="000B7AA8"/>
    <w:rsid w:val="000E1C15"/>
    <w:rsid w:val="000F24DD"/>
    <w:rsid w:val="00123172"/>
    <w:rsid w:val="00167F28"/>
    <w:rsid w:val="002B09FB"/>
    <w:rsid w:val="002B0D9B"/>
    <w:rsid w:val="002C2025"/>
    <w:rsid w:val="00407E19"/>
    <w:rsid w:val="00410EA0"/>
    <w:rsid w:val="004F4699"/>
    <w:rsid w:val="00682B0E"/>
    <w:rsid w:val="0095159C"/>
    <w:rsid w:val="00A83714"/>
    <w:rsid w:val="00B9065F"/>
    <w:rsid w:val="00BB7E4D"/>
    <w:rsid w:val="00C5233E"/>
    <w:rsid w:val="00C81ECD"/>
    <w:rsid w:val="00DA71AC"/>
    <w:rsid w:val="00F33D56"/>
    <w:rsid w:val="00F46FB0"/>
    <w:rsid w:val="00F809FD"/>
    <w:rsid w:val="00FA0482"/>
    <w:rsid w:val="00FD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docId w15:val="{D238623D-FD6C-4C2F-B5A9-D61375F4C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</w:pPr>
    <w:rPr>
      <w:lang w:eastAsia="zh-CN"/>
    </w:rPr>
  </w:style>
  <w:style w:type="paragraph" w:styleId="Cmsor1">
    <w:name w:val="heading 1"/>
    <w:basedOn w:val="Norml"/>
    <w:next w:val="Norml"/>
    <w:qFormat/>
    <w:pPr>
      <w:keepNext/>
      <w:numPr>
        <w:numId w:val="2"/>
      </w:numPr>
      <w:jc w:val="center"/>
      <w:outlineLvl w:val="0"/>
    </w:pPr>
    <w:rPr>
      <w:sz w:val="24"/>
    </w:rPr>
  </w:style>
  <w:style w:type="paragraph" w:styleId="Cmsor2">
    <w:name w:val="heading 2"/>
    <w:basedOn w:val="Norml"/>
    <w:next w:val="Norml"/>
    <w:qFormat/>
    <w:pPr>
      <w:keepNext/>
      <w:tabs>
        <w:tab w:val="num" w:pos="0"/>
      </w:tabs>
      <w:ind w:left="624" w:hanging="624"/>
      <w:jc w:val="center"/>
      <w:outlineLvl w:val="1"/>
    </w:pPr>
    <w:rPr>
      <w:sz w:val="24"/>
    </w:rPr>
  </w:style>
  <w:style w:type="paragraph" w:styleId="Cmsor3">
    <w:name w:val="heading 3"/>
    <w:basedOn w:val="Norml"/>
    <w:next w:val="Norml"/>
    <w:qFormat/>
    <w:pPr>
      <w:keepNext/>
      <w:tabs>
        <w:tab w:val="num" w:pos="0"/>
        <w:tab w:val="left" w:pos="1134"/>
        <w:tab w:val="left" w:pos="4536"/>
        <w:tab w:val="left" w:pos="5812"/>
      </w:tabs>
      <w:ind w:left="5664" w:firstLine="857"/>
      <w:outlineLvl w:val="2"/>
    </w:pPr>
    <w:rPr>
      <w:rFonts w:ascii="Times" w:hAnsi="Times" w:cs="Times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b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b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b/>
      <w:sz w:val="24"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/>
    </w:rPr>
  </w:style>
  <w:style w:type="character" w:customStyle="1" w:styleId="WW8Num10z0">
    <w:name w:val="WW8Num10z0"/>
    <w:rPr>
      <w:b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Bekezdsalapbettpusa1">
    <w:name w:val="Bekezdés alapbetűtípusa1"/>
  </w:style>
  <w:style w:type="character" w:styleId="Oldalszm">
    <w:name w:val="page number"/>
    <w:basedOn w:val="Bekezdsalapbettpusa1"/>
  </w:style>
  <w:style w:type="character" w:customStyle="1" w:styleId="BuborkszvegChar">
    <w:name w:val="Buborékszöveg Char"/>
    <w:rPr>
      <w:rFonts w:ascii="Segoe UI" w:hAnsi="Segoe UI" w:cs="Segoe UI"/>
      <w:sz w:val="18"/>
      <w:szCs w:val="18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Mang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customStyle="1" w:styleId="Szvegtrzs31">
    <w:name w:val="Szövegtörzs 31"/>
    <w:basedOn w:val="Norml"/>
    <w:pPr>
      <w:tabs>
        <w:tab w:val="left" w:pos="1134"/>
        <w:tab w:val="left" w:pos="4536"/>
        <w:tab w:val="left" w:pos="5670"/>
      </w:tabs>
    </w:pPr>
    <w:rPr>
      <w:rFonts w:ascii="Times" w:hAnsi="Times" w:cs="Times"/>
      <w:sz w:val="24"/>
    </w:rPr>
  </w:style>
  <w:style w:type="paragraph" w:styleId="Szvegtrzsbehzssal">
    <w:name w:val="Body Text Indent"/>
    <w:basedOn w:val="Norml"/>
    <w:pPr>
      <w:ind w:left="624" w:hanging="624"/>
      <w:jc w:val="both"/>
    </w:pPr>
    <w:rPr>
      <w:sz w:val="24"/>
    </w:rPr>
  </w:style>
  <w:style w:type="paragraph" w:customStyle="1" w:styleId="Szvegtrzsbehzssal31">
    <w:name w:val="Szövegtörzs behúzással 31"/>
    <w:basedOn w:val="Norml"/>
    <w:pPr>
      <w:spacing w:after="120"/>
      <w:ind w:left="283"/>
    </w:pPr>
    <w:rPr>
      <w:sz w:val="16"/>
      <w:szCs w:val="16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customStyle="1" w:styleId="Szvegblokk1">
    <w:name w:val="Szövegblokk1"/>
    <w:basedOn w:val="Norml"/>
    <w:pPr>
      <w:ind w:left="426" w:right="-1" w:hanging="426"/>
      <w:jc w:val="both"/>
    </w:pPr>
    <w:rPr>
      <w:sz w:val="24"/>
    </w:rPr>
  </w:style>
  <w:style w:type="paragraph" w:styleId="Buborkszveg">
    <w:name w:val="Balloon Text"/>
    <w:basedOn w:val="Norml"/>
    <w:rPr>
      <w:rFonts w:ascii="Segoe UI" w:hAnsi="Segoe UI" w:cs="Segoe UI"/>
      <w:sz w:val="18"/>
      <w:szCs w:val="18"/>
    </w:rPr>
  </w:style>
  <w:style w:type="paragraph" w:customStyle="1" w:styleId="Kerettartalom">
    <w:name w:val="Kerettartalom"/>
    <w:basedOn w:val="Norml"/>
  </w:style>
  <w:style w:type="paragraph" w:customStyle="1" w:styleId="Tblzattartalom">
    <w:name w:val="Táblázattartalom"/>
    <w:basedOn w:val="Norm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1882</Characters>
  <Application>Microsoft Office Word</Application>
  <DocSecurity>4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4/2003</vt:lpstr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4/2003</dc:title>
  <dc:creator>Hivatal</dc:creator>
  <cp:lastModifiedBy>asus</cp:lastModifiedBy>
  <cp:revision>2</cp:revision>
  <cp:lastPrinted>2015-08-27T07:03:00Z</cp:lastPrinted>
  <dcterms:created xsi:type="dcterms:W3CDTF">2015-12-15T10:34:00Z</dcterms:created>
  <dcterms:modified xsi:type="dcterms:W3CDTF">2015-12-15T10:34:00Z</dcterms:modified>
</cp:coreProperties>
</file>