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B3F1" w14:textId="77777777" w:rsidR="00C53FCE" w:rsidRDefault="00A60C6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Üllés Nagyközségi Önkormányzat Képviselő-testülete </w:t>
      </w:r>
    </w:p>
    <w:p w14:paraId="25B99257" w14:textId="77777777" w:rsidR="00C53FCE" w:rsidRDefault="00C53FCE">
      <w:pPr>
        <w:pStyle w:val="Szvegtrzs"/>
        <w:spacing w:after="0" w:line="240" w:lineRule="auto"/>
        <w:jc w:val="center"/>
        <w:rPr>
          <w:b/>
          <w:bCs/>
        </w:rPr>
      </w:pPr>
    </w:p>
    <w:p w14:paraId="5F765FC4" w14:textId="5B2FD517" w:rsidR="004B5BBC" w:rsidRDefault="00A60C6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7/2021. (V. 19.) önkormányzati rendelete</w:t>
      </w:r>
    </w:p>
    <w:p w14:paraId="550ECA1E" w14:textId="77777777" w:rsidR="00C53FCE" w:rsidRDefault="00C53FCE">
      <w:pPr>
        <w:pStyle w:val="Szvegtrzs"/>
        <w:spacing w:after="0" w:line="240" w:lineRule="auto"/>
        <w:jc w:val="center"/>
        <w:rPr>
          <w:b/>
          <w:bCs/>
        </w:rPr>
      </w:pPr>
    </w:p>
    <w:p w14:paraId="5B44CE79" w14:textId="77777777" w:rsidR="004B5BBC" w:rsidRDefault="00A60C6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és szervei 2020. évi költségvetéséről és annak végrehajtásáról, a költségvetési gazdálkodás 2020. évi vitelének szabályairól szóló 2/2020.(II.19.) önkormányzati rendelet (zárszámadás) végrehajtásáról </w:t>
      </w:r>
    </w:p>
    <w:p w14:paraId="79B1E3DA" w14:textId="77777777" w:rsidR="004B5BBC" w:rsidRDefault="00A60C60">
      <w:pPr>
        <w:pStyle w:val="Szvegtrzs"/>
        <w:spacing w:before="220" w:after="0" w:line="240" w:lineRule="auto"/>
        <w:jc w:val="both"/>
      </w:pPr>
      <w:r>
        <w:t>Alaptörvény 32. cikk (1) bekezdés a) po</w:t>
      </w:r>
      <w:r>
        <w:t>ntjában, Magyarország 2020. évi központi költségvetéséről alkotott 2019. évi LXXI. törvény előírásainak figyelembevételével, az államháztartásról szóló 2011. évi CXCV. törvény 91. § (1) bekezdésében kapott felhatalmazás alapján, valamint a helyi önkormányz</w:t>
      </w:r>
      <w:r>
        <w:t xml:space="preserve">atokról szóló módosított 2011. évi CLXXXIX. tv 111/A., valamint a </w:t>
      </w:r>
      <w:proofErr w:type="spellStart"/>
      <w:r>
        <w:t>a</w:t>
      </w:r>
      <w:proofErr w:type="spellEnd"/>
      <w:r>
        <w:t xml:space="preserve"> katasztrófavédelemről szóló 2011. évi CXXVIII. törvény 46. § (4) bekezdésében biztosított feladat- és hatáskörében eljárva Üllés Nagyközségi Önkormányzat Polgármestere a 2020. évi gazdálko</w:t>
      </w:r>
      <w:r>
        <w:t>dásának zárszámadásáról az alábbi rendeletet alkotja:</w:t>
      </w:r>
    </w:p>
    <w:p w14:paraId="387F119D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DD391C4" w14:textId="77777777" w:rsidR="004B5BBC" w:rsidRDefault="00A60C60">
      <w:pPr>
        <w:pStyle w:val="Szvegtrzs"/>
        <w:spacing w:before="220" w:after="0" w:line="240" w:lineRule="auto"/>
        <w:jc w:val="both"/>
      </w:pPr>
      <w:r>
        <w:t>A rendelet hatálya a Képviselő-testületre és annak bizottságára, valamint az Üllés Nagyközségi Önkormányzat fenntartásában működő intézményekre terjed ki.</w:t>
      </w:r>
    </w:p>
    <w:p w14:paraId="388C1553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11AD436" w14:textId="77777777" w:rsidR="004B5BBC" w:rsidRDefault="00A60C60">
      <w:pPr>
        <w:pStyle w:val="Szvegtrzs"/>
        <w:spacing w:before="220" w:after="0" w:line="240" w:lineRule="auto"/>
        <w:jc w:val="both"/>
      </w:pPr>
      <w:r>
        <w:t xml:space="preserve">A Képviselő-testület az Önkormányzat </w:t>
      </w:r>
      <w:r>
        <w:t>2020. évi költségvetésének teljesítése bevételi főösszegét 1 275 071 217.- Ft-ban, kiadási főösszegét 975 966 609.- Ft-ban állapítja meg irányítószervi támogatással.</w:t>
      </w:r>
    </w:p>
    <w:p w14:paraId="2D4C0B43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958D5B1" w14:textId="77777777" w:rsidR="004B5BBC" w:rsidRDefault="00A60C60">
      <w:pPr>
        <w:pStyle w:val="Szvegtrzs"/>
        <w:spacing w:before="220" w:after="0" w:line="240" w:lineRule="auto"/>
        <w:jc w:val="both"/>
      </w:pPr>
      <w:r>
        <w:t>Az önkormányzat és intézményi működési, fenntartási, kiadásai előirányzatait a Képvis</w:t>
      </w:r>
      <w:r>
        <w:t>elő-testület összesen 801 335 732 Ft-ban határozza meg. Ebből:</w:t>
      </w:r>
    </w:p>
    <w:p w14:paraId="400AC4A9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a) Személyi jellegű kiadások 243 974 688.- Ft</w:t>
      </w:r>
    </w:p>
    <w:p w14:paraId="78276DAB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b) Munkaadókat terhelő járulékok 40 996 970.- Ft</w:t>
      </w:r>
    </w:p>
    <w:p w14:paraId="1BA73701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c) Dologi jellegű kiadások 203 809 210.- Ft</w:t>
      </w:r>
    </w:p>
    <w:p w14:paraId="78F5DAD5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d) Ellátottak pénzbeli juttatásai 11 484 690.- Ft</w:t>
      </w:r>
    </w:p>
    <w:p w14:paraId="0AD9036F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e) E</w:t>
      </w:r>
      <w:r>
        <w:t>gyéb működési célú kiadások 31 211 367.- Ft</w:t>
      </w:r>
    </w:p>
    <w:p w14:paraId="42657C16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f) Finanszírozási kiadások 269 858 807.- Ft</w:t>
      </w:r>
    </w:p>
    <w:p w14:paraId="4A562BC3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6D9B486" w14:textId="77777777" w:rsidR="004B5BBC" w:rsidRDefault="00A60C60">
      <w:pPr>
        <w:pStyle w:val="Szvegtrzs"/>
        <w:spacing w:before="220" w:after="0" w:line="240" w:lineRule="auto"/>
        <w:jc w:val="both"/>
      </w:pPr>
      <w:r>
        <w:t>Az önkormányzat és intézményei felhalmozási kiadásai előirányzatait a Képviselő-testület összesen 546 086 373 Ft-ban határozza meg. Ebből:</w:t>
      </w:r>
    </w:p>
    <w:p w14:paraId="48EF6CF8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a) Beruházások 176 975 3</w:t>
      </w:r>
      <w:r>
        <w:t>63.- Ft</w:t>
      </w:r>
    </w:p>
    <w:p w14:paraId="24343C57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 xml:space="preserve">b) Felújítások 361 041 695.- Ft </w:t>
      </w:r>
    </w:p>
    <w:p w14:paraId="02FB8BB5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c) Egyéb felhalmozási célú kiadások 8 069 315.- Ft</w:t>
      </w:r>
    </w:p>
    <w:p w14:paraId="072B57C7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4D3298A" w14:textId="77777777" w:rsidR="004B5BBC" w:rsidRDefault="00A60C60">
      <w:pPr>
        <w:pStyle w:val="Szvegtrzs"/>
        <w:spacing w:before="220" w:after="0" w:line="240" w:lineRule="auto"/>
        <w:jc w:val="both"/>
      </w:pPr>
      <w:r>
        <w:t>A képviselő-testület az önkormányzat és intézményei által foglalkoztatottak munkajogi állományi létszámát - beleértve a közfoglalkoztatottakat is - 77 főben ha</w:t>
      </w:r>
      <w:r>
        <w:t>tározta meg.</w:t>
      </w:r>
    </w:p>
    <w:p w14:paraId="53ED5F1A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4663A14" w14:textId="77777777" w:rsidR="004B5BBC" w:rsidRDefault="00A60C60">
      <w:pPr>
        <w:pStyle w:val="Szvegtrzs"/>
        <w:spacing w:before="220" w:after="0" w:line="240" w:lineRule="auto"/>
        <w:jc w:val="both"/>
      </w:pPr>
      <w:r>
        <w:lastRenderedPageBreak/>
        <w:t>(1) Az Önkormányzat bevételeinek és kiadásainak alakulását intézményenként és összevontan az 1. számú melléklet tartalmazza.</w:t>
      </w:r>
    </w:p>
    <w:p w14:paraId="70CEFA50" w14:textId="77777777" w:rsidR="004B5BBC" w:rsidRDefault="00A60C60">
      <w:pPr>
        <w:pStyle w:val="Szvegtrzs"/>
        <w:spacing w:before="220" w:after="0" w:line="240" w:lineRule="auto"/>
        <w:jc w:val="both"/>
      </w:pPr>
      <w:r>
        <w:t>(2) Az önkormányzat működésének és ágazati feladatainak támogatását a 2. számú melléklet tartalmazza.</w:t>
      </w:r>
    </w:p>
    <w:p w14:paraId="4F65C23A" w14:textId="77777777" w:rsidR="004B5BBC" w:rsidRDefault="00A60C60">
      <w:pPr>
        <w:pStyle w:val="Szvegtrzs"/>
        <w:spacing w:before="220" w:after="0" w:line="240" w:lineRule="auto"/>
        <w:jc w:val="both"/>
      </w:pPr>
      <w:r>
        <w:t xml:space="preserve">(3) Az </w:t>
      </w:r>
      <w:r>
        <w:t>önkormányzat és intézményeinek működési és felhalmozási mérlegét a 3. számú melléklet tartalmazza.</w:t>
      </w:r>
    </w:p>
    <w:p w14:paraId="0DD90BF5" w14:textId="77777777" w:rsidR="004B5BBC" w:rsidRDefault="00A60C60">
      <w:pPr>
        <w:pStyle w:val="Szvegtrzs"/>
        <w:spacing w:before="220" w:after="0" w:line="240" w:lineRule="auto"/>
        <w:jc w:val="both"/>
      </w:pPr>
      <w:r>
        <w:t>(4) Az önkormányzat által adott közvetett támogatások összegét a 4. melléklet szerint hagyja jóvá.</w:t>
      </w:r>
    </w:p>
    <w:p w14:paraId="5AAC6429" w14:textId="77777777" w:rsidR="004B5BBC" w:rsidRDefault="00A60C60">
      <w:pPr>
        <w:pStyle w:val="Szvegtrzs"/>
        <w:spacing w:before="220" w:after="0" w:line="240" w:lineRule="auto"/>
        <w:jc w:val="both"/>
      </w:pPr>
      <w:r>
        <w:t>(5) Az önkormányzat bevételi előirányzatait és annak telje</w:t>
      </w:r>
      <w:r>
        <w:t xml:space="preserve">sítését az 5. melléklet tartalmazza. </w:t>
      </w:r>
    </w:p>
    <w:p w14:paraId="228B4E8A" w14:textId="77777777" w:rsidR="004B5BBC" w:rsidRDefault="00A60C60">
      <w:pPr>
        <w:pStyle w:val="Szvegtrzs"/>
        <w:spacing w:before="220" w:after="0" w:line="240" w:lineRule="auto"/>
        <w:jc w:val="both"/>
      </w:pPr>
      <w:r>
        <w:t>(6) Az önkormányzat kiadási előirányzatait és annak teljesítését a 6. melléklet szerint hagyja jóvá.</w:t>
      </w:r>
    </w:p>
    <w:p w14:paraId="5550CF36" w14:textId="77777777" w:rsidR="004B5BBC" w:rsidRDefault="00A60C60">
      <w:pPr>
        <w:pStyle w:val="Szvegtrzs"/>
        <w:spacing w:before="220" w:after="0" w:line="240" w:lineRule="auto"/>
        <w:jc w:val="both"/>
      </w:pPr>
      <w:r>
        <w:t>(7) A 2011. évi CXCIV. törvény Magyarország gazdasági stabilitásáról 3. § -a szerinti adósságot keletkeztető ügyletek</w:t>
      </w:r>
      <w:r>
        <w:t xml:space="preserve"> kimutatását, az Önkormányzat több éves kihatással járó kötelezettségvállalását a 7. számú melléklet tartalmazza.</w:t>
      </w:r>
    </w:p>
    <w:p w14:paraId="182A249C" w14:textId="77777777" w:rsidR="004B5BBC" w:rsidRDefault="00A60C60">
      <w:pPr>
        <w:pStyle w:val="Szvegtrzs"/>
        <w:spacing w:before="220" w:after="0" w:line="240" w:lineRule="auto"/>
        <w:jc w:val="both"/>
      </w:pPr>
      <w:r>
        <w:t>(8) Az önkormányzat munkajogi létszámát intézmények szerinti bontásban az 8. számú melléklet tartalmazza.</w:t>
      </w:r>
    </w:p>
    <w:p w14:paraId="23CB2DEB" w14:textId="77777777" w:rsidR="004B5BBC" w:rsidRDefault="00A60C60">
      <w:pPr>
        <w:pStyle w:val="Szvegtrzs"/>
        <w:spacing w:before="220" w:after="0" w:line="240" w:lineRule="auto"/>
        <w:jc w:val="both"/>
      </w:pPr>
      <w:r>
        <w:t>(9) Az önkormányzat könyvviteli mérl</w:t>
      </w:r>
      <w:r>
        <w:t>egét a 9. melléklet tartalmazza.</w:t>
      </w:r>
    </w:p>
    <w:p w14:paraId="44AD6185" w14:textId="77777777" w:rsidR="004B5BBC" w:rsidRDefault="00A60C60">
      <w:pPr>
        <w:pStyle w:val="Szvegtrzs"/>
        <w:spacing w:before="220" w:after="0" w:line="240" w:lineRule="auto"/>
        <w:jc w:val="both"/>
      </w:pPr>
      <w:r>
        <w:t>(10) Az önkormányzat eredménykimutatását a 10. melléklet szerint hagyja jóvá.</w:t>
      </w:r>
    </w:p>
    <w:p w14:paraId="4A82FA4A" w14:textId="77777777" w:rsidR="004B5BBC" w:rsidRDefault="00A60C60">
      <w:pPr>
        <w:pStyle w:val="Szvegtrzs"/>
        <w:spacing w:before="220" w:after="0" w:line="240" w:lineRule="auto"/>
        <w:jc w:val="both"/>
      </w:pPr>
      <w:r>
        <w:t>(11) Az önkormányzat követeléseinek és kötelezettségeinek alakulását a 11. melléklet tartalmazza.</w:t>
      </w:r>
    </w:p>
    <w:p w14:paraId="1DC8D3F5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C782722" w14:textId="77777777" w:rsidR="004B5BBC" w:rsidRDefault="00A60C60">
      <w:pPr>
        <w:pStyle w:val="Szvegtrzs"/>
        <w:spacing w:before="220" w:after="0" w:line="240" w:lineRule="auto"/>
        <w:jc w:val="both"/>
      </w:pPr>
      <w:r>
        <w:t>Az önkormányzat és önállóan működő intézmé</w:t>
      </w:r>
      <w:r>
        <w:t xml:space="preserve">nyeinek a 2020. évi maradvány kimutatását a 12. számú melléklet tartalmazza. </w:t>
      </w:r>
    </w:p>
    <w:p w14:paraId="688227FA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4449FD9" w14:textId="77777777" w:rsidR="004B5BBC" w:rsidRDefault="00A60C60">
      <w:pPr>
        <w:pStyle w:val="Szvegtrzs"/>
        <w:spacing w:before="220" w:after="0" w:line="240" w:lineRule="auto"/>
        <w:jc w:val="both"/>
      </w:pPr>
      <w:r>
        <w:t>(1) Az önkormányzat a 2020. december 31-i állapot szerinti ingatlanvagyonát a 13. számú mellékletben foglalt adatok alapján állapítja meg. Az ingatlanvagyon részletes kimuta</w:t>
      </w:r>
      <w:r>
        <w:t xml:space="preserve">tását forgalomképesség, főkönyvi szám és bruttó érték szerinti bontásban a 14. számú melléklet tartalmazza. </w:t>
      </w:r>
    </w:p>
    <w:p w14:paraId="37B5359A" w14:textId="77777777" w:rsidR="004B5BBC" w:rsidRDefault="00A60C60">
      <w:pPr>
        <w:pStyle w:val="Szvegtrzs"/>
        <w:spacing w:before="220" w:after="0" w:line="240" w:lineRule="auto"/>
        <w:jc w:val="both"/>
      </w:pPr>
      <w:r>
        <w:t>(2) Az önkormányzat 2020. december 31-i állapot szerinti részesedéseinek alakulását a 15. számú melléklet tartalmazza.</w:t>
      </w:r>
    </w:p>
    <w:p w14:paraId="3DD632C2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D65FFD6" w14:textId="77777777" w:rsidR="004B5BBC" w:rsidRDefault="00A60C60">
      <w:pPr>
        <w:pStyle w:val="Szvegtrzs"/>
        <w:spacing w:before="220" w:after="0" w:line="240" w:lineRule="auto"/>
        <w:jc w:val="both"/>
      </w:pPr>
      <w:r>
        <w:t>(1) Az Önkormányzatok á</w:t>
      </w:r>
      <w:r>
        <w:t>ltalános, köznevelési és szociális feladataihoz kapcsolódó támogatások elszámolását. 1 292 496.- Ft többlet támogatási igénnyel a 16. sz. melléklet szerint jóváhagyja.</w:t>
      </w:r>
    </w:p>
    <w:p w14:paraId="2D1499E6" w14:textId="77777777" w:rsidR="004B5BBC" w:rsidRDefault="00A60C60">
      <w:pPr>
        <w:pStyle w:val="Szvegtrzs"/>
        <w:spacing w:before="220" w:after="0" w:line="240" w:lineRule="auto"/>
        <w:jc w:val="both"/>
      </w:pPr>
      <w:r>
        <w:t>(2) Az önkormányzat kiegészítő támogatásainak és egyéb kötött felhasználású támogatásain</w:t>
      </w:r>
      <w:r>
        <w:t>ak elszámolását a 17. számú melléklet szerint 50 620.- Ft többlet támogatási igénnyel elfogadja.</w:t>
      </w:r>
    </w:p>
    <w:p w14:paraId="0A60C847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DEFF65A" w14:textId="77777777" w:rsidR="004B5BBC" w:rsidRDefault="00A60C60">
      <w:pPr>
        <w:pStyle w:val="Szvegtrzs"/>
        <w:spacing w:before="220" w:after="0" w:line="240" w:lineRule="auto"/>
        <w:jc w:val="both"/>
      </w:pPr>
      <w:r>
        <w:lastRenderedPageBreak/>
        <w:t>A Képviselő-testület az Országos Egészségbiztosítási Pénztár által finanszírozott feladatokra vonatkozóan 2020. évben átvett támogatás felhasználásának e</w:t>
      </w:r>
      <w:r>
        <w:t>lszámolását a 18. számú melléklet szerint jóváhagyja, megállapítja, hogy a védőnői szolgálat vonatkozásában maradvány nem képződött.</w:t>
      </w:r>
    </w:p>
    <w:p w14:paraId="39CABB21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179B210" w14:textId="77777777" w:rsidR="004B5BBC" w:rsidRDefault="00A60C60">
      <w:pPr>
        <w:pStyle w:val="Szvegtrzs"/>
        <w:spacing w:before="220" w:after="0" w:line="240" w:lineRule="auto"/>
        <w:jc w:val="both"/>
      </w:pPr>
      <w:r>
        <w:t xml:space="preserve">Az önkormányzat záró pénzkészletét összesen: </w:t>
      </w:r>
      <w:r>
        <w:rPr>
          <w:b/>
          <w:bCs/>
        </w:rPr>
        <w:t>257 992 916.- Ft</w:t>
      </w:r>
      <w:r>
        <w:t xml:space="preserve"> összegben állapítja meg. Ebből: </w:t>
      </w:r>
    </w:p>
    <w:p w14:paraId="24B0D7D2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 xml:space="preserve">a) </w:t>
      </w:r>
      <w:r>
        <w:t>Önkormányzat: 252 865 642.- Ft</w:t>
      </w:r>
    </w:p>
    <w:p w14:paraId="2F545C1F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b) Polgármesteri Hivatal: 895 073.- Ft</w:t>
      </w:r>
    </w:p>
    <w:p w14:paraId="525EDA04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c) Déryné Művelődési Ház és Könyvtár: 2 310 447.-Ft</w:t>
      </w:r>
    </w:p>
    <w:p w14:paraId="1BDEB39B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>d) Önkormányzati Konyha: 1 108 593.- Ft</w:t>
      </w:r>
    </w:p>
    <w:p w14:paraId="499D0737" w14:textId="77777777" w:rsidR="004B5BBC" w:rsidRDefault="00A60C60">
      <w:pPr>
        <w:pStyle w:val="Szvegtrzs"/>
        <w:spacing w:after="0" w:line="240" w:lineRule="auto"/>
        <w:ind w:left="220"/>
        <w:jc w:val="both"/>
      </w:pPr>
      <w:r>
        <w:t xml:space="preserve">e) Csigabiga Óvoda és Bölcsőde 813 161.-Ft. </w:t>
      </w:r>
    </w:p>
    <w:p w14:paraId="282AB4E1" w14:textId="77777777" w:rsidR="004B5BBC" w:rsidRDefault="00A60C60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C20ED70" w14:textId="4E5D37BF" w:rsidR="00C53FCE" w:rsidRDefault="00A60C60" w:rsidP="00C53FCE">
      <w:pPr>
        <w:pStyle w:val="Szvegtrzs"/>
        <w:spacing w:after="0" w:line="240" w:lineRule="auto"/>
        <w:jc w:val="both"/>
      </w:pPr>
      <w:r>
        <w:t xml:space="preserve">Ez a rendelet 2021. május 20-án lép </w:t>
      </w:r>
      <w:r>
        <w:t>hatályba.</w:t>
      </w:r>
    </w:p>
    <w:p w14:paraId="69308695" w14:textId="77777777" w:rsidR="00C53FCE" w:rsidRDefault="00C53FCE" w:rsidP="00C53FCE">
      <w:pPr>
        <w:pStyle w:val="Szvegtrzs"/>
        <w:spacing w:after="0" w:line="240" w:lineRule="auto"/>
        <w:jc w:val="both"/>
      </w:pPr>
    </w:p>
    <w:p w14:paraId="56A0CF3A" w14:textId="77777777" w:rsidR="00C53FCE" w:rsidRDefault="00C53FCE" w:rsidP="00C53FCE">
      <w:pPr>
        <w:pStyle w:val="Szvegtrzs"/>
        <w:spacing w:after="0" w:line="240" w:lineRule="auto"/>
        <w:jc w:val="both"/>
      </w:pPr>
    </w:p>
    <w:p w14:paraId="68DDF18B" w14:textId="05A7E710" w:rsidR="00C53FCE" w:rsidRDefault="00C53FCE" w:rsidP="00C53FCE">
      <w:pPr>
        <w:pStyle w:val="Szvegtrzs"/>
        <w:spacing w:after="0" w:line="240" w:lineRule="auto"/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2021. május 18. </w:t>
      </w:r>
    </w:p>
    <w:p w14:paraId="1557F7A1" w14:textId="6AC39269" w:rsidR="00C53FCE" w:rsidRDefault="00C53FCE" w:rsidP="00C53FCE">
      <w:pPr>
        <w:pStyle w:val="Szvegtrzs"/>
        <w:spacing w:after="0" w:line="240" w:lineRule="auto"/>
        <w:jc w:val="both"/>
      </w:pPr>
    </w:p>
    <w:p w14:paraId="6BD4A573" w14:textId="77777777" w:rsidR="00C53FCE" w:rsidRDefault="00C53FCE" w:rsidP="00C53FCE">
      <w:pPr>
        <w:pStyle w:val="Szvegtrzs"/>
        <w:spacing w:after="0" w:line="240" w:lineRule="auto"/>
        <w:jc w:val="both"/>
      </w:pPr>
    </w:p>
    <w:p w14:paraId="7C4F7F3D" w14:textId="77777777" w:rsidR="00C53FCE" w:rsidRDefault="00C53FCE" w:rsidP="00C53FCE">
      <w:pPr>
        <w:pStyle w:val="Szvegtrzs"/>
        <w:spacing w:after="0" w:line="240" w:lineRule="auto"/>
        <w:jc w:val="center"/>
      </w:pPr>
    </w:p>
    <w:p w14:paraId="4CCCAE12" w14:textId="77777777" w:rsidR="00C53FCE" w:rsidRDefault="00C53FCE" w:rsidP="00C53FCE">
      <w:pPr>
        <w:pStyle w:val="Szvegtrzs"/>
        <w:spacing w:after="0" w:line="240" w:lineRule="auto"/>
        <w:jc w:val="center"/>
      </w:pPr>
      <w:r>
        <w:t>Nagy Attila Gyula                                                                                 Dr. Borbás Zsuzsanna</w:t>
      </w:r>
    </w:p>
    <w:p w14:paraId="21F3ED57" w14:textId="77777777" w:rsidR="00C53FCE" w:rsidRDefault="00C53FCE" w:rsidP="00C53FCE">
      <w:pPr>
        <w:pStyle w:val="Szvegtrzs"/>
        <w:spacing w:after="0" w:line="240" w:lineRule="auto"/>
        <w:jc w:val="center"/>
      </w:pPr>
      <w:r>
        <w:t>polgármester                                                                                                    jegyző</w:t>
      </w:r>
    </w:p>
    <w:p w14:paraId="57F869A9" w14:textId="57DC2EC7" w:rsidR="00C53FCE" w:rsidRDefault="00C53FCE" w:rsidP="00C53FCE">
      <w:pPr>
        <w:pStyle w:val="Szvegtrzs"/>
        <w:spacing w:after="0" w:line="240" w:lineRule="auto"/>
        <w:jc w:val="both"/>
      </w:pPr>
    </w:p>
    <w:p w14:paraId="34FB67D4" w14:textId="77777777" w:rsidR="00C53FCE" w:rsidRDefault="00C53FCE" w:rsidP="00C53FCE">
      <w:pPr>
        <w:pStyle w:val="Szvegtrzs"/>
        <w:spacing w:after="0" w:line="240" w:lineRule="auto"/>
        <w:jc w:val="both"/>
      </w:pPr>
    </w:p>
    <w:p w14:paraId="12E8D988" w14:textId="2BCAFA32" w:rsidR="00C53FCE" w:rsidRDefault="00C53FCE" w:rsidP="00C53FCE">
      <w:pPr>
        <w:pStyle w:val="Szvegtrzs"/>
        <w:spacing w:after="0" w:line="240" w:lineRule="auto"/>
        <w:jc w:val="both"/>
      </w:pPr>
      <w:r>
        <w:t xml:space="preserve">A rendelet kihirdetve: </w:t>
      </w:r>
    </w:p>
    <w:p w14:paraId="24ED2343" w14:textId="77777777" w:rsidR="00C53FCE" w:rsidRDefault="00C53FCE" w:rsidP="00C53FCE">
      <w:pPr>
        <w:pStyle w:val="Szvegtrzs"/>
        <w:spacing w:after="0" w:line="240" w:lineRule="auto"/>
        <w:jc w:val="both"/>
      </w:pPr>
    </w:p>
    <w:p w14:paraId="77B81BF9" w14:textId="386E85AD" w:rsidR="00C53FCE" w:rsidRDefault="00C53FCE" w:rsidP="00C53FCE">
      <w:pPr>
        <w:pStyle w:val="Szvegtrzs"/>
        <w:spacing w:after="0" w:line="240" w:lineRule="auto"/>
        <w:jc w:val="both"/>
      </w:pPr>
      <w:r>
        <w:t xml:space="preserve">2021. május 19. </w:t>
      </w:r>
    </w:p>
    <w:p w14:paraId="030B0A81" w14:textId="599EA35F" w:rsidR="00C53FCE" w:rsidRDefault="00C53FCE" w:rsidP="00C53FCE">
      <w:pPr>
        <w:pStyle w:val="Szvegtrzs"/>
        <w:spacing w:after="0" w:line="240" w:lineRule="auto"/>
        <w:jc w:val="both"/>
      </w:pPr>
    </w:p>
    <w:p w14:paraId="35EE494F" w14:textId="77777777" w:rsidR="00C53FCE" w:rsidRDefault="00C53FCE" w:rsidP="00C53FCE">
      <w:pPr>
        <w:pStyle w:val="Szvegtrzs"/>
        <w:spacing w:after="0" w:line="240" w:lineRule="auto"/>
        <w:jc w:val="both"/>
      </w:pPr>
    </w:p>
    <w:p w14:paraId="1ECE2362" w14:textId="77777777" w:rsidR="00C53FCE" w:rsidRDefault="00C53FCE" w:rsidP="00C53FCE">
      <w:pPr>
        <w:pStyle w:val="Szvegtrzs"/>
        <w:spacing w:after="0" w:line="240" w:lineRule="auto"/>
        <w:jc w:val="both"/>
      </w:pPr>
      <w:r>
        <w:t>Dr. Borbás Zsuzsanna</w:t>
      </w:r>
    </w:p>
    <w:p w14:paraId="0969E4CC" w14:textId="10B5C5BA" w:rsidR="004B5BBC" w:rsidRDefault="00C53FCE" w:rsidP="00C53FCE">
      <w:pPr>
        <w:pStyle w:val="Szvegtrzs"/>
        <w:spacing w:after="0" w:line="240" w:lineRule="auto"/>
        <w:jc w:val="both"/>
      </w:pPr>
      <w:r>
        <w:t>jegyző</w:t>
      </w:r>
      <w:r w:rsidR="00A60C60">
        <w:br w:type="page"/>
      </w:r>
    </w:p>
    <w:p w14:paraId="6CB21CED" w14:textId="080C9BD9" w:rsidR="00C53FCE" w:rsidRDefault="00C53FCE">
      <w:pPr>
        <w:pStyle w:val="Szvegtrzs"/>
        <w:spacing w:before="220" w:after="0" w:line="240" w:lineRule="auto"/>
        <w:jc w:val="both"/>
      </w:pPr>
    </w:p>
    <w:p w14:paraId="06980DF5" w14:textId="2BCB2188" w:rsidR="004B5BBC" w:rsidRDefault="00A60C60" w:rsidP="00C53FCE">
      <w:pPr>
        <w:spacing w:before="159" w:after="79"/>
        <w:ind w:right="159"/>
        <w:jc w:val="center"/>
        <w:rPr>
          <w:b/>
          <w:bCs/>
        </w:rPr>
      </w:pPr>
      <w:r>
        <w:rPr>
          <w:b/>
          <w:bCs/>
        </w:rPr>
        <w:t>1-12. §</w:t>
      </w:r>
    </w:p>
    <w:p w14:paraId="125C1B3E" w14:textId="77777777" w:rsidR="004B5BBC" w:rsidRDefault="00A60C60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Indokolás</w:t>
      </w:r>
    </w:p>
    <w:p w14:paraId="728DC594" w14:textId="77777777" w:rsidR="004B5BBC" w:rsidRDefault="00A60C60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Általános</w:t>
      </w:r>
    </w:p>
    <w:p w14:paraId="43E1B77A" w14:textId="77777777" w:rsidR="004B5BBC" w:rsidRDefault="00A60C60">
      <w:pPr>
        <w:pStyle w:val="Szvegtrzs"/>
        <w:spacing w:after="159" w:line="240" w:lineRule="auto"/>
        <w:ind w:left="159"/>
        <w:jc w:val="both"/>
      </w:pPr>
      <w:r>
        <w:t xml:space="preserve">A rendelet módosítását magasabb szintű jogszabály (törvény) teszi kötelezővé, tekintettel arra, hogy helyi rendelet a magasabb szintű jogszabállyal nem lehet </w:t>
      </w:r>
      <w:r>
        <w:t>ellentétes.</w:t>
      </w:r>
    </w:p>
    <w:p w14:paraId="45488EC6" w14:textId="77777777" w:rsidR="004B5BBC" w:rsidRDefault="00A60C60">
      <w:pPr>
        <w:pStyle w:val="Szvegtrzs"/>
        <w:spacing w:after="159" w:line="240" w:lineRule="auto"/>
        <w:ind w:left="159"/>
        <w:jc w:val="both"/>
      </w:pPr>
      <w:r>
        <w:t> </w:t>
      </w:r>
    </w:p>
    <w:p w14:paraId="0B9A1867" w14:textId="77777777" w:rsidR="004B5BBC" w:rsidRDefault="00A60C60">
      <w:pPr>
        <w:pStyle w:val="Szvegtrzs"/>
        <w:spacing w:after="159" w:line="240" w:lineRule="auto"/>
        <w:ind w:left="159"/>
        <w:jc w:val="both"/>
        <w:rPr>
          <w:b/>
          <w:bCs/>
        </w:rPr>
      </w:pPr>
      <w:r>
        <w:rPr>
          <w:b/>
          <w:bCs/>
        </w:rPr>
        <w:t>Részletes</w:t>
      </w:r>
    </w:p>
    <w:p w14:paraId="31A6CC0F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1 § A rendelet hatályát szabályozza.</w:t>
      </w:r>
    </w:p>
    <w:p w14:paraId="66EF2E78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2.§ Az Önkormányzat bevételi és kiadási főösszegét határozza meg irányítószervi támogatással.</w:t>
      </w:r>
    </w:p>
    <w:p w14:paraId="00D69554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3.§ Az Önkormányzat és intézményei működési kiadásainak előirányzatát határozza meg.</w:t>
      </w:r>
    </w:p>
    <w:p w14:paraId="432B61ED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 xml:space="preserve">4. § Az </w:t>
      </w:r>
      <w:r>
        <w:t>Önkormányzat és intézményei felhalmozási kiadásainak előirányzatát határozza meg.</w:t>
      </w:r>
    </w:p>
    <w:p w14:paraId="72589398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5. § Az Önkormányzat és intézményei munkajogi létszámát tartalmazza.</w:t>
      </w:r>
    </w:p>
    <w:p w14:paraId="4B2312FF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 xml:space="preserve">6. § Az Önkormányzat és intézményei működésével kapcsolatosan felmerülő bevételeket, kiadásokat, ágazati </w:t>
      </w:r>
      <w:r>
        <w:t>támogatásokat, közvetett támogatásokat, az előirányzatok teljesítését részletezi. Könyvviteli mérleget, eredménykimutatást, követeléseket, kötelezettségeket, a több éves kihatással járó kötelezettségvállalást határozza meg.</w:t>
      </w:r>
    </w:p>
    <w:p w14:paraId="1B9CA651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7. § Az intézmények maradványkim</w:t>
      </w:r>
      <w:r>
        <w:t>utatásáról rendelkezik.</w:t>
      </w:r>
    </w:p>
    <w:p w14:paraId="63A5378F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8. § Az Önkormányzat ingatlanvagyonát mutatja be, forgalomképesség szerinti bontással.</w:t>
      </w:r>
    </w:p>
    <w:p w14:paraId="54514363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 xml:space="preserve">9. § Az Önkormányzat általános, köznevelési, </w:t>
      </w:r>
      <w:proofErr w:type="gramStart"/>
      <w:r>
        <w:t>szociális  faladataihoz</w:t>
      </w:r>
      <w:proofErr w:type="gramEnd"/>
      <w:r>
        <w:t xml:space="preserve"> kapcsolódó támogatások elszámolását határozza meg.</w:t>
      </w:r>
    </w:p>
    <w:p w14:paraId="4C931005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 xml:space="preserve">10. § </w:t>
      </w:r>
      <w:proofErr w:type="gramStart"/>
      <w:r>
        <w:t>Az  Országos</w:t>
      </w:r>
      <w:proofErr w:type="gramEnd"/>
      <w:r>
        <w:t xml:space="preserve"> Egészs</w:t>
      </w:r>
      <w:r>
        <w:t>égbiztosítási Pénztár által finanszírozott támogatást mutatja be.</w:t>
      </w:r>
    </w:p>
    <w:p w14:paraId="40DA6E9A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11. § az Önkormányzat és intézményeinek 2020. 12.31.-</w:t>
      </w:r>
      <w:proofErr w:type="gramStart"/>
      <w:r>
        <w:t>i  záró</w:t>
      </w:r>
      <w:proofErr w:type="gramEnd"/>
      <w:r>
        <w:t xml:space="preserve"> pénzkészletét mutatja.</w:t>
      </w:r>
    </w:p>
    <w:p w14:paraId="16D1DB2C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12. § Hatályba léptető rendelkezéseket tartalmaz.</w:t>
      </w:r>
    </w:p>
    <w:p w14:paraId="0BD1D691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 </w:t>
      </w:r>
    </w:p>
    <w:p w14:paraId="0C213944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 xml:space="preserve">A Magyar Közlöny kiadásáról, valamint a </w:t>
      </w:r>
      <w:r>
        <w:t>jogszabály kihirdetése során történő és a közjogi szervezetszabályozó eszköz közzététele során történő megjelöléséről szóló 5/2019. (III. 13.) IM rendelet 20. §-a értelmében a 21. §-a szerinti kivételek alkalmazásával, az adott jogszabály tervezetéhez tart</w:t>
      </w:r>
      <w:r>
        <w:t>ozó indokolást közzé kell tenni (a (3) bekezdés szerint) a Nemzeti Jogszabálytárban. Az indokolás közzététel alól mentesül a 21. § (2) bekezdés szerinti önkormányzati rendelet a b) pont alkalmazása során, konkrétan akkor, ha a jogszabály végrehajtási jelle</w:t>
      </w:r>
      <w:r>
        <w:t>gű.</w:t>
      </w:r>
    </w:p>
    <w:p w14:paraId="719EAF35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E tényekre tekintettel szükségesnek a tárgyi önkormányzati rendelet-tervezethez csatolt indokolást a Nemzeti Jogszabálytárban közzétenni.</w:t>
      </w:r>
    </w:p>
    <w:p w14:paraId="6FB4655C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 </w:t>
      </w:r>
    </w:p>
    <w:p w14:paraId="76A163D8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Üllés, 2021. május 18.</w:t>
      </w:r>
    </w:p>
    <w:p w14:paraId="28804530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 </w:t>
      </w:r>
    </w:p>
    <w:p w14:paraId="5BEB15AE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                                                                                       </w:t>
      </w:r>
      <w:r>
        <w:t>        Dr. Borbás Zsuzsanna</w:t>
      </w:r>
    </w:p>
    <w:p w14:paraId="64ABACD8" w14:textId="77777777" w:rsidR="004B5BBC" w:rsidRDefault="00A60C60">
      <w:pPr>
        <w:pStyle w:val="Szvegtrzs"/>
        <w:spacing w:after="0" w:line="240" w:lineRule="auto"/>
        <w:ind w:left="159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jegyző</w:t>
      </w:r>
    </w:p>
    <w:p w14:paraId="2912C53E" w14:textId="77777777" w:rsidR="004B5BBC" w:rsidRDefault="00A60C60">
      <w:pPr>
        <w:pStyle w:val="Szvegtrzs"/>
        <w:spacing w:after="0" w:line="240" w:lineRule="auto"/>
        <w:ind w:left="159"/>
        <w:jc w:val="center"/>
      </w:pPr>
      <w:r>
        <w:t> </w:t>
      </w:r>
    </w:p>
    <w:sectPr w:rsidR="004B5BB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F713" w14:textId="77777777" w:rsidR="00000000" w:rsidRDefault="00A60C60">
      <w:r>
        <w:separator/>
      </w:r>
    </w:p>
  </w:endnote>
  <w:endnote w:type="continuationSeparator" w:id="0">
    <w:p w14:paraId="7EBA6B65" w14:textId="77777777" w:rsidR="00000000" w:rsidRDefault="00A6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AD68" w14:textId="77777777" w:rsidR="004B5BBC" w:rsidRDefault="00A60C6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AF25" w14:textId="77777777" w:rsidR="00000000" w:rsidRDefault="00A60C60">
      <w:r>
        <w:separator/>
      </w:r>
    </w:p>
  </w:footnote>
  <w:footnote w:type="continuationSeparator" w:id="0">
    <w:p w14:paraId="7AE446F7" w14:textId="77777777" w:rsidR="00000000" w:rsidRDefault="00A6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15C"/>
    <w:multiLevelType w:val="multilevel"/>
    <w:tmpl w:val="AB2A02C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BC"/>
    <w:rsid w:val="004B5BBC"/>
    <w:rsid w:val="00A60C60"/>
    <w:rsid w:val="00C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04D0"/>
  <w15:docId w15:val="{EDDCAF7B-1B3E-497F-ABF6-8304C3C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dc:description/>
  <cp:lastModifiedBy>marti</cp:lastModifiedBy>
  <cp:revision>2</cp:revision>
  <cp:lastPrinted>2021-05-20T07:04:00Z</cp:lastPrinted>
  <dcterms:created xsi:type="dcterms:W3CDTF">2021-05-20T07:09:00Z</dcterms:created>
  <dcterms:modified xsi:type="dcterms:W3CDTF">2021-05-20T07:09:00Z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